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Минфина России от 14.12.2018 N 270н</w:t>
              <w:br/>
              <w:t xml:space="preserve">(ред. от 18.02.2025)</w:t>
              <w:br/>
              <w:t xml:space="preserve">"Об утверждении Типовой формы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w:t>
              <w:br/>
              <w:t xml:space="preserve">(Зарегистрировано в Минюсте России 21.01.2019 N 53461)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21 января 2019 г. N 53461</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ФИНАНСОВ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14 декабря 2018 г. N 270н</w:t>
      </w:r>
    </w:p>
    <w:p>
      <w:pPr>
        <w:pStyle w:val="2"/>
        <w:jc w:val="center"/>
      </w:pPr>
      <w:r>
        <w:rPr>
          <w:sz w:val="20"/>
        </w:rPr>
      </w:r>
    </w:p>
    <w:p>
      <w:pPr>
        <w:pStyle w:val="2"/>
        <w:jc w:val="center"/>
      </w:pPr>
      <w:r>
        <w:rPr>
          <w:sz w:val="20"/>
        </w:rPr>
        <w:t xml:space="preserve">ОБ УТВЕРЖДЕНИИ ТИПОВОЙ ФОРМЫ СОГЛАШЕНИЯ</w:t>
      </w:r>
    </w:p>
    <w:p>
      <w:pPr>
        <w:pStyle w:val="2"/>
        <w:jc w:val="center"/>
      </w:pPr>
      <w:r>
        <w:rPr>
          <w:sz w:val="20"/>
        </w:rPr>
        <w:t xml:space="preserve">О ПРЕДОСТАВЛЕНИИ ИНОГО МЕЖБЮДЖЕТНОГО ТРАНСФЕРТА, ИМЕЮЩЕГО</w:t>
      </w:r>
    </w:p>
    <w:p>
      <w:pPr>
        <w:pStyle w:val="2"/>
        <w:jc w:val="center"/>
      </w:pPr>
      <w:r>
        <w:rPr>
          <w:sz w:val="20"/>
        </w:rPr>
        <w:t xml:space="preserve">ЦЕЛЕВОЕ НАЗНАЧЕНИЕ, ИЗ ФЕДЕРАЛЬНОГО БЮДЖЕТА БЮДЖЕТУ</w:t>
      </w:r>
    </w:p>
    <w:p>
      <w:pPr>
        <w:pStyle w:val="2"/>
        <w:jc w:val="center"/>
      </w:pPr>
      <w:r>
        <w:rPr>
          <w:sz w:val="20"/>
        </w:rPr>
        <w:t xml:space="preserve">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Минфина России от 08.10.2019 </w:t>
            </w:r>
            <w:hyperlink w:history="0" r:id="rId8" w:tooltip="Приказ Минфина России от 08.10.2019 N 161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22.11.2019 N 56610) {КонсультантПлюс}">
              <w:r>
                <w:rPr>
                  <w:sz w:val="20"/>
                  <w:color w:val="0000ff"/>
                </w:rPr>
                <w:t xml:space="preserve">N 161н</w:t>
              </w:r>
            </w:hyperlink>
            <w:r>
              <w:rPr>
                <w:sz w:val="20"/>
                <w:color w:val="392c69"/>
              </w:rPr>
              <w:t xml:space="preserve">,</w:t>
            </w:r>
          </w:p>
          <w:p>
            <w:pPr>
              <w:pStyle w:val="0"/>
              <w:jc w:val="center"/>
            </w:pPr>
            <w:r>
              <w:rPr>
                <w:sz w:val="20"/>
                <w:color w:val="392c69"/>
              </w:rPr>
              <w:t xml:space="preserve">от 17.07.2020 </w:t>
            </w:r>
            <w:hyperlink w:history="0" r:id="rId9" w:tooltip="Приказ Минфина России от 17.07.2020 N 143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8.08.2020 N 59307) {КонсультантПлюс}">
              <w:r>
                <w:rPr>
                  <w:sz w:val="20"/>
                  <w:color w:val="0000ff"/>
                </w:rPr>
                <w:t xml:space="preserve">N 143н</w:t>
              </w:r>
            </w:hyperlink>
            <w:r>
              <w:rPr>
                <w:sz w:val="20"/>
                <w:color w:val="392c69"/>
              </w:rPr>
              <w:t xml:space="preserve">, от 09.12.2020 </w:t>
            </w:r>
            <w:hyperlink w:history="0" r:id="rId10" w:tooltip="Приказ Минфина России от 09.12.2020 N 300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9.02.2021 N 62573) {КонсультантПлюс}">
              <w:r>
                <w:rPr>
                  <w:sz w:val="20"/>
                  <w:color w:val="0000ff"/>
                </w:rPr>
                <w:t xml:space="preserve">N 300н</w:t>
              </w:r>
            </w:hyperlink>
            <w:r>
              <w:rPr>
                <w:sz w:val="20"/>
                <w:color w:val="392c69"/>
              </w:rPr>
              <w:t xml:space="preserve">, от 31.03.2021 </w:t>
            </w:r>
            <w:hyperlink w:history="0" r:id="rId11" w:tooltip="Приказ Минфина России от 31.03.2021 N 52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КонсультантПлюс}">
              <w:r>
                <w:rPr>
                  <w:sz w:val="20"/>
                  <w:color w:val="0000ff"/>
                </w:rPr>
                <w:t xml:space="preserve">N 52н</w:t>
              </w:r>
            </w:hyperlink>
            <w:r>
              <w:rPr>
                <w:sz w:val="20"/>
                <w:color w:val="392c69"/>
              </w:rPr>
              <w:t xml:space="preserve">,</w:t>
            </w:r>
          </w:p>
          <w:p>
            <w:pPr>
              <w:pStyle w:val="0"/>
              <w:jc w:val="center"/>
            </w:pPr>
            <w:r>
              <w:rPr>
                <w:sz w:val="20"/>
                <w:color w:val="392c69"/>
              </w:rPr>
              <w:t xml:space="preserve">от 24.12.2021 </w:t>
            </w:r>
            <w:hyperlink w:history="0" r:id="rId12" w:tooltip="Приказ Минфина России от 24.12.2021 N 228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 {КонсультантПлюс}">
              <w:r>
                <w:rPr>
                  <w:sz w:val="20"/>
                  <w:color w:val="0000ff"/>
                </w:rPr>
                <w:t xml:space="preserve">N 228н</w:t>
              </w:r>
            </w:hyperlink>
            <w:r>
              <w:rPr>
                <w:sz w:val="20"/>
                <w:color w:val="392c69"/>
              </w:rPr>
              <w:t xml:space="preserve">, от 30.06.2022 </w:t>
            </w:r>
            <w:hyperlink w:history="0" r:id="rId13" w:tooltip="Приказ Минфина России от 30.06.2022 N 103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6.09.2022 N 70116) {КонсультантПлюс}">
              <w:r>
                <w:rPr>
                  <w:sz w:val="20"/>
                  <w:color w:val="0000ff"/>
                </w:rPr>
                <w:t xml:space="preserve">N 103н</w:t>
              </w:r>
            </w:hyperlink>
            <w:r>
              <w:rPr>
                <w:sz w:val="20"/>
                <w:color w:val="392c69"/>
              </w:rPr>
              <w:t xml:space="preserve">, от 14.08.2023 </w:t>
            </w:r>
            <w:hyperlink w:history="0" r:id="rId14" w:tooltip="Приказ Минфина России от 14.08.2023 N 133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5.09.2023 N 75245) {КонсультантПлюс}">
              <w:r>
                <w:rPr>
                  <w:sz w:val="20"/>
                  <w:color w:val="0000ff"/>
                </w:rPr>
                <w:t xml:space="preserve">N 133н</w:t>
              </w:r>
            </w:hyperlink>
            <w:r>
              <w:rPr>
                <w:sz w:val="20"/>
                <w:color w:val="392c69"/>
              </w:rPr>
              <w:t xml:space="preserve">,</w:t>
            </w:r>
          </w:p>
          <w:p>
            <w:pPr>
              <w:pStyle w:val="0"/>
              <w:jc w:val="center"/>
            </w:pPr>
            <w:r>
              <w:rPr>
                <w:sz w:val="20"/>
                <w:color w:val="392c69"/>
              </w:rPr>
              <w:t xml:space="preserve">от 06.12.2023 </w:t>
            </w:r>
            <w:hyperlink w:history="0" r:id="rId15" w:tooltip="Приказ Минфина России от 06.12.2023 N 193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КонсультантПлюс}">
              <w:r>
                <w:rPr>
                  <w:sz w:val="20"/>
                  <w:color w:val="0000ff"/>
                </w:rPr>
                <w:t xml:space="preserve">N 193н</w:t>
              </w:r>
            </w:hyperlink>
            <w:r>
              <w:rPr>
                <w:sz w:val="20"/>
                <w:color w:val="392c69"/>
              </w:rPr>
              <w:t xml:space="preserve">, от 18.02.2025 </w:t>
            </w:r>
            <w:hyperlink w:history="0" r:id="rId16" w:tooltip="Приказ Минфина России от 18.02.2025 N 16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КонсультантПлюс}">
              <w:r>
                <w:rPr>
                  <w:sz w:val="20"/>
                  <w:color w:val="0000ff"/>
                </w:rPr>
                <w:t xml:space="preserve">N 16н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7" w:tooltip="&quot;Бюджетный кодекс Российской Федерации&quot; от 31.07.1998 N 145-ФЗ (ред. от 31.07.2025) {КонсультантПлюс}">
        <w:r>
          <w:rPr>
            <w:sz w:val="20"/>
            <w:color w:val="0000ff"/>
          </w:rPr>
          <w:t xml:space="preserve">статьей 132.1</w:t>
        </w:r>
      </w:hyperlink>
      <w:r>
        <w:rPr>
          <w:sz w:val="20"/>
        </w:rPr>
        <w:t xml:space="preserve"> Бюджетного кодекса Российской Федерации (Собрание законодательства Российской Федерации, 1998, N 31, ст. 3823; 2007, N 18, ст. 2117; официальный интернет-портал правовой информации </w:t>
      </w:r>
      <w:hyperlink w:history="0" r:id="rId18">
        <w:r>
          <w:rPr>
            <w:sz w:val="20"/>
            <w:color w:val="0000ff"/>
          </w:rPr>
          <w:t xml:space="preserve">http://www.pravo.gov.ru</w:t>
        </w:r>
      </w:hyperlink>
      <w:r>
        <w:rPr>
          <w:sz w:val="20"/>
        </w:rPr>
        <w:t xml:space="preserve">, 27 декабря 2018 г.) приказываю:</w:t>
      </w:r>
    </w:p>
    <w:p>
      <w:pPr>
        <w:pStyle w:val="0"/>
        <w:spacing w:before="200" w:lineRule="auto"/>
        <w:ind w:firstLine="540"/>
        <w:jc w:val="both"/>
      </w:pPr>
      <w:r>
        <w:rPr>
          <w:sz w:val="20"/>
        </w:rPr>
        <w:t xml:space="preserve">1. Утвердить прилагаемую Типовую </w:t>
      </w:r>
      <w:hyperlink w:history="0" w:anchor="P46" w:tooltip="ТИПОВАЯ ФОРМА">
        <w:r>
          <w:rPr>
            <w:sz w:val="20"/>
            <w:color w:val="0000ff"/>
          </w:rPr>
          <w:t xml:space="preserve">форму</w:t>
        </w:r>
      </w:hyperlink>
      <w:r>
        <w:rPr>
          <w:sz w:val="20"/>
        </w:rPr>
        <w:t xml:space="preserve">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(далее - Типовая форма).</w:t>
      </w:r>
    </w:p>
    <w:p>
      <w:pPr>
        <w:pStyle w:val="0"/>
        <w:spacing w:before="200" w:lineRule="auto"/>
        <w:ind w:firstLine="540"/>
        <w:jc w:val="both"/>
      </w:pPr>
      <w:r>
        <w:rPr>
          <w:sz w:val="20"/>
        </w:rPr>
        <w:t xml:space="preserve">2. Типовая </w:t>
      </w:r>
      <w:hyperlink w:history="0" w:anchor="P46" w:tooltip="ТИПОВАЯ ФОРМА">
        <w:r>
          <w:rPr>
            <w:sz w:val="20"/>
            <w:color w:val="0000ff"/>
          </w:rPr>
          <w:t xml:space="preserve">форма</w:t>
        </w:r>
      </w:hyperlink>
      <w:r>
        <w:rPr>
          <w:sz w:val="20"/>
        </w:rPr>
        <w:t xml:space="preserve"> применяется при заключении соглашений между главными распорядителями средств федерального бюджета как получателями средств федерального бюджета и высшими исполнительными органами государственной власти субъектов Российской Федерации о предоставлении иных межбюджетных трансфертов, имеющих целевое назначение, начиная с соглашений на 2019 год.</w:t>
      </w:r>
    </w:p>
    <w:p>
      <w:pPr>
        <w:pStyle w:val="0"/>
        <w:jc w:val="both"/>
      </w:pPr>
      <w:r>
        <w:rPr>
          <w:sz w:val="20"/>
        </w:rPr>
      </w:r>
    </w:p>
    <w:p>
      <w:pPr>
        <w:pStyle w:val="0"/>
        <w:jc w:val="right"/>
      </w:pPr>
      <w:r>
        <w:rPr>
          <w:sz w:val="20"/>
        </w:rPr>
        <w:t xml:space="preserve">Первый заместитель</w:t>
      </w:r>
    </w:p>
    <w:p>
      <w:pPr>
        <w:pStyle w:val="0"/>
        <w:jc w:val="right"/>
      </w:pPr>
      <w:r>
        <w:rPr>
          <w:sz w:val="20"/>
        </w:rPr>
        <w:t xml:space="preserve">Председателя Правительства</w:t>
      </w:r>
    </w:p>
    <w:p>
      <w:pPr>
        <w:pStyle w:val="0"/>
        <w:jc w:val="right"/>
      </w:pPr>
      <w:r>
        <w:rPr>
          <w:sz w:val="20"/>
        </w:rPr>
        <w:t xml:space="preserve">Российской Федерации -</w:t>
      </w:r>
    </w:p>
    <w:p>
      <w:pPr>
        <w:pStyle w:val="0"/>
        <w:jc w:val="right"/>
      </w:pPr>
      <w:r>
        <w:rPr>
          <w:sz w:val="20"/>
        </w:rPr>
        <w:t xml:space="preserve">Министр финансов</w:t>
      </w:r>
    </w:p>
    <w:p>
      <w:pPr>
        <w:pStyle w:val="0"/>
        <w:jc w:val="right"/>
      </w:pPr>
      <w:r>
        <w:rPr>
          <w:sz w:val="20"/>
        </w:rPr>
        <w:t xml:space="preserve">Российской Федерации</w:t>
      </w:r>
    </w:p>
    <w:p>
      <w:pPr>
        <w:pStyle w:val="0"/>
        <w:jc w:val="right"/>
      </w:pPr>
      <w:r>
        <w:rPr>
          <w:sz w:val="20"/>
        </w:rPr>
        <w:t xml:space="preserve">А.Г.СИЛУАНОВ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приказом 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Минфина России от 08.10.2019 </w:t>
            </w:r>
            <w:hyperlink w:history="0" r:id="rId19" w:tooltip="Приказ Минфина России от 08.10.2019 N 161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22.11.2019 N 56610) {КонсультантПлюс}">
              <w:r>
                <w:rPr>
                  <w:sz w:val="20"/>
                  <w:color w:val="0000ff"/>
                </w:rPr>
                <w:t xml:space="preserve">N 161н</w:t>
              </w:r>
            </w:hyperlink>
            <w:r>
              <w:rPr>
                <w:sz w:val="20"/>
                <w:color w:val="392c69"/>
              </w:rPr>
              <w:t xml:space="preserve">,</w:t>
            </w:r>
          </w:p>
          <w:p>
            <w:pPr>
              <w:pStyle w:val="0"/>
              <w:jc w:val="center"/>
            </w:pPr>
            <w:r>
              <w:rPr>
                <w:sz w:val="20"/>
                <w:color w:val="392c69"/>
              </w:rPr>
              <w:t xml:space="preserve">от 17.07.2020 </w:t>
            </w:r>
            <w:hyperlink w:history="0" r:id="rId20" w:tooltip="Приказ Минфина России от 17.07.2020 N 143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8.08.2020 N 59307) {КонсультантПлюс}">
              <w:r>
                <w:rPr>
                  <w:sz w:val="20"/>
                  <w:color w:val="0000ff"/>
                </w:rPr>
                <w:t xml:space="preserve">N 143н</w:t>
              </w:r>
            </w:hyperlink>
            <w:r>
              <w:rPr>
                <w:sz w:val="20"/>
                <w:color w:val="392c69"/>
              </w:rPr>
              <w:t xml:space="preserve">, от 09.12.2020 </w:t>
            </w:r>
            <w:hyperlink w:history="0" r:id="rId21" w:tooltip="Приказ Минфина России от 09.12.2020 N 300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9.02.2021 N 62573) {КонсультантПлюс}">
              <w:r>
                <w:rPr>
                  <w:sz w:val="20"/>
                  <w:color w:val="0000ff"/>
                </w:rPr>
                <w:t xml:space="preserve">N 300н</w:t>
              </w:r>
            </w:hyperlink>
            <w:r>
              <w:rPr>
                <w:sz w:val="20"/>
                <w:color w:val="392c69"/>
              </w:rPr>
              <w:t xml:space="preserve">, от 31.03.2021 </w:t>
            </w:r>
            <w:hyperlink w:history="0" r:id="rId22" w:tooltip="Приказ Минфина России от 31.03.2021 N 52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КонсультантПлюс}">
              <w:r>
                <w:rPr>
                  <w:sz w:val="20"/>
                  <w:color w:val="0000ff"/>
                </w:rPr>
                <w:t xml:space="preserve">N 52н</w:t>
              </w:r>
            </w:hyperlink>
            <w:r>
              <w:rPr>
                <w:sz w:val="20"/>
                <w:color w:val="392c69"/>
              </w:rPr>
              <w:t xml:space="preserve">,</w:t>
            </w:r>
          </w:p>
          <w:p>
            <w:pPr>
              <w:pStyle w:val="0"/>
              <w:jc w:val="center"/>
            </w:pPr>
            <w:r>
              <w:rPr>
                <w:sz w:val="20"/>
                <w:color w:val="392c69"/>
              </w:rPr>
              <w:t xml:space="preserve">от 24.12.2021 </w:t>
            </w:r>
            <w:hyperlink w:history="0" r:id="rId23" w:tooltip="Приказ Минфина России от 24.12.2021 N 228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 {КонсультантПлюс}">
              <w:r>
                <w:rPr>
                  <w:sz w:val="20"/>
                  <w:color w:val="0000ff"/>
                </w:rPr>
                <w:t xml:space="preserve">N 228н</w:t>
              </w:r>
            </w:hyperlink>
            <w:r>
              <w:rPr>
                <w:sz w:val="20"/>
                <w:color w:val="392c69"/>
              </w:rPr>
              <w:t xml:space="preserve">, от 30.06.2022 </w:t>
            </w:r>
            <w:hyperlink w:history="0" r:id="rId24" w:tooltip="Приказ Минфина России от 30.06.2022 N 103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6.09.2022 N 70116) {КонсультантПлюс}">
              <w:r>
                <w:rPr>
                  <w:sz w:val="20"/>
                  <w:color w:val="0000ff"/>
                </w:rPr>
                <w:t xml:space="preserve">N 103н</w:t>
              </w:r>
            </w:hyperlink>
            <w:r>
              <w:rPr>
                <w:sz w:val="20"/>
                <w:color w:val="392c69"/>
              </w:rPr>
              <w:t xml:space="preserve">, от 14.08.2023 </w:t>
            </w:r>
            <w:hyperlink w:history="0" r:id="rId25" w:tooltip="Приказ Минфина России от 14.08.2023 N 133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5.09.2023 N 75245) {КонсультантПлюс}">
              <w:r>
                <w:rPr>
                  <w:sz w:val="20"/>
                  <w:color w:val="0000ff"/>
                </w:rPr>
                <w:t xml:space="preserve">N 133н</w:t>
              </w:r>
            </w:hyperlink>
            <w:r>
              <w:rPr>
                <w:sz w:val="20"/>
                <w:color w:val="392c69"/>
              </w:rPr>
              <w:t xml:space="preserve">,</w:t>
            </w:r>
          </w:p>
          <w:p>
            <w:pPr>
              <w:pStyle w:val="0"/>
              <w:jc w:val="center"/>
            </w:pPr>
            <w:r>
              <w:rPr>
                <w:sz w:val="20"/>
                <w:color w:val="392c69"/>
              </w:rPr>
              <w:t xml:space="preserve">от 06.12.2023 </w:t>
            </w:r>
            <w:hyperlink w:history="0" r:id="rId26" w:tooltip="Приказ Минфина России от 06.12.2023 N 193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КонсультантПлюс}">
              <w:r>
                <w:rPr>
                  <w:sz w:val="20"/>
                  <w:color w:val="0000ff"/>
                </w:rPr>
                <w:t xml:space="preserve">N 193н</w:t>
              </w:r>
            </w:hyperlink>
            <w:r>
              <w:rPr>
                <w:sz w:val="20"/>
                <w:color w:val="392c69"/>
              </w:rPr>
              <w:t xml:space="preserve">, от 18.02.2025 </w:t>
            </w:r>
            <w:hyperlink w:history="0" r:id="rId27" w:tooltip="Приказ Минфина России от 18.02.2025 N 16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КонсультантПлюс}">
              <w:r>
                <w:rPr>
                  <w:sz w:val="20"/>
                  <w:color w:val="0000ff"/>
                </w:rPr>
                <w:t xml:space="preserve">N 16н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внесения изменений в Типовую форму соглашения, предусматривающих включение в нее положений о санкционировании, соответствующие условия могут быть включены в раздел </w:t>
            </w:r>
            <w:hyperlink w:history="0" w:anchor="P421" w:tooltip="VI. Иные условия &lt;51&gt;">
              <w:r>
                <w:rPr>
                  <w:sz w:val="20"/>
                  <w:color w:val="0000ff"/>
                </w:rPr>
                <w:t xml:space="preserve">VI</w:t>
              </w:r>
            </w:hyperlink>
            <w:r>
              <w:rPr>
                <w:sz w:val="20"/>
                <w:color w:val="392c69"/>
              </w:rPr>
              <w:t xml:space="preserve"> "Иные условия" (</w:t>
            </w:r>
            <w:hyperlink w:history="0" r:id="rId28" w:tooltip="&lt;Письмо&gt; Казначейства России от 11.07.2019 N 95-09-11/26-502 &quot;О санкционировании оплаты денежных обязательств&quot; {КонсультантПлюс}">
              <w:r>
                <w:rPr>
                  <w:sz w:val="20"/>
                  <w:color w:val="0000ff"/>
                </w:rPr>
                <w:t xml:space="preserve">письмо</w:t>
              </w:r>
            </w:hyperlink>
            <w:r>
              <w:rPr>
                <w:sz w:val="20"/>
                <w:color w:val="392c69"/>
              </w:rPr>
              <w:t xml:space="preserve"> Казначейства России от 11.07.2019 N 95-09-11/26-502).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 w:name="P46"/>
    <w:bookmarkEnd w:id="46"/>
    <w:p>
      <w:pPr>
        <w:pStyle w:val="0"/>
        <w:spacing w:before="260" w:lineRule="auto"/>
        <w:jc w:val="center"/>
      </w:pPr>
      <w:r>
        <w:rPr>
          <w:sz w:val="20"/>
        </w:rPr>
        <w:t xml:space="preserve">ТИПОВАЯ ФОРМА</w:t>
      </w:r>
    </w:p>
    <w:p>
      <w:pPr>
        <w:pStyle w:val="0"/>
        <w:jc w:val="center"/>
      </w:pPr>
      <w:r>
        <w:rPr>
          <w:sz w:val="20"/>
        </w:rPr>
        <w:t xml:space="preserve">соглашения о предоставлении иного межбюджетного трансферта,</w:t>
      </w:r>
    </w:p>
    <w:p>
      <w:pPr>
        <w:pStyle w:val="0"/>
        <w:jc w:val="center"/>
      </w:pPr>
      <w:r>
        <w:rPr>
          <w:sz w:val="20"/>
        </w:rPr>
        <w:t xml:space="preserve">имеющего целевое назначение, из федерального бюджета</w:t>
      </w:r>
    </w:p>
    <w:p>
      <w:pPr>
        <w:pStyle w:val="0"/>
        <w:jc w:val="center"/>
      </w:pPr>
      <w:r>
        <w:rPr>
          <w:sz w:val="20"/>
        </w:rPr>
        <w:t xml:space="preserve">бюджету субъекта Российской Федерации </w:t>
      </w:r>
      <w:hyperlink w:history="0" w:anchor="P496" w:tooltip="&lt;1&gt; Соглашение о предоставлении иного межбюджетного трансферта, имеющего целевое назначение, из федерального бюджета бюджету субъекта Российской Федерации (далее - соглашение) заключается с уполномоченным органом исполнительный власти субъекта Российской Федерации в случае, если в соответствии с законодательством Российской Федерации он может являться стороной соглашения.">
        <w:r>
          <w:rPr>
            <w:sz w:val="20"/>
            <w:color w:val="0000ff"/>
          </w:rPr>
          <w:t xml:space="preserve">&lt;1&gt;</w:t>
        </w:r>
      </w:hyperlink>
    </w:p>
    <w:p>
      <w:pPr>
        <w:pStyle w:val="0"/>
        <w:jc w:val="both"/>
      </w:pPr>
      <w:r>
        <w:rPr>
          <w:sz w:val="20"/>
        </w:rPr>
      </w:r>
    </w:p>
    <w:p>
      <w:pPr>
        <w:pStyle w:val="1"/>
        <w:jc w:val="both"/>
      </w:pPr>
      <w:r>
        <w:rPr>
          <w:sz w:val="20"/>
        </w:rPr>
        <w:t xml:space="preserve">"__" _________________ 20__ г.                         N __________________</w:t>
      </w:r>
    </w:p>
    <w:p>
      <w:pPr>
        <w:pStyle w:val="1"/>
        <w:jc w:val="both"/>
      </w:pPr>
      <w:r>
        <w:rPr>
          <w:sz w:val="20"/>
        </w:rPr>
        <w:t xml:space="preserve">(дата заключения соглашения)                             (номер соглашения)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исполнительной власти)</w:t>
      </w:r>
    </w:p>
    <w:p>
      <w:pPr>
        <w:pStyle w:val="1"/>
        <w:jc w:val="both"/>
      </w:pPr>
      <w:r>
        <w:rPr>
          <w:sz w:val="20"/>
        </w:rPr>
        <w:t xml:space="preserve">которому  как  получателю  средств  федерального  бюджета  доведены  лимиты</w:t>
      </w:r>
    </w:p>
    <w:p>
      <w:pPr>
        <w:pStyle w:val="1"/>
        <w:jc w:val="both"/>
      </w:pPr>
      <w:r>
        <w:rPr>
          <w:sz w:val="20"/>
        </w:rPr>
        <w:t xml:space="preserve">бюджетных  обязательств  на  предоставление иного межбюджетного трансферта,</w:t>
      </w:r>
    </w:p>
    <w:p>
      <w:pPr>
        <w:pStyle w:val="1"/>
        <w:jc w:val="both"/>
      </w:pPr>
      <w:r>
        <w:rPr>
          <w:sz w:val="20"/>
        </w:rPr>
        <w:t xml:space="preserve">имеющего  целевое  назначение,  бюджетам  субъектов  Российской  Федерации,</w:t>
      </w:r>
    </w:p>
    <w:p>
      <w:pPr>
        <w:pStyle w:val="1"/>
        <w:jc w:val="both"/>
      </w:pPr>
      <w:r>
        <w:rPr>
          <w:sz w:val="20"/>
        </w:rPr>
        <w:t xml:space="preserve">именуемое(ая) в дальнейшем _______________________________________________,</w:t>
      </w:r>
    </w:p>
    <w:p>
      <w:pPr>
        <w:pStyle w:val="1"/>
        <w:jc w:val="both"/>
      </w:pPr>
      <w:r>
        <w:rPr>
          <w:sz w:val="20"/>
        </w:rPr>
        <w:t xml:space="preserve">                                  (Министерство, Агентство, Служба)</w:t>
      </w:r>
    </w:p>
    <w:p>
      <w:pPr>
        <w:pStyle w:val="1"/>
        <w:jc w:val="both"/>
      </w:pPr>
      <w:r>
        <w:rPr>
          <w:sz w:val="20"/>
        </w:rPr>
        <w:t xml:space="preserve">в лице ____________________________________________________________________</w:t>
      </w:r>
    </w:p>
    <w:p>
      <w:pPr>
        <w:pStyle w:val="1"/>
        <w:jc w:val="both"/>
      </w:pPr>
      <w:r>
        <w:rPr>
          <w:sz w:val="20"/>
        </w:rPr>
        <w:t xml:space="preserve">            (наименование должности руководителя федерального органа</w:t>
      </w:r>
    </w:p>
    <w:p>
      <w:pPr>
        <w:pStyle w:val="1"/>
        <w:jc w:val="both"/>
      </w:pPr>
      <w:r>
        <w:rPr>
          <w:sz w:val="20"/>
        </w:rPr>
        <w:t xml:space="preserve">               исполнительной власти или уполномоченного им лица)</w:t>
      </w:r>
    </w:p>
    <w:p>
      <w:pPr>
        <w:pStyle w:val="1"/>
        <w:jc w:val="both"/>
      </w:pPr>
      <w:r>
        <w:rPr>
          <w:sz w:val="20"/>
        </w:rPr>
        <w:t xml:space="preserve">______________________________________________________, действующего(ей) на</w:t>
      </w:r>
    </w:p>
    <w:p>
      <w:pPr>
        <w:pStyle w:val="1"/>
        <w:jc w:val="both"/>
      </w:pPr>
      <w:r>
        <w:rPr>
          <w:sz w:val="20"/>
        </w:rPr>
        <w:t xml:space="preserve">  (фамилия, имя, отчество (последнее - при наличии)</w:t>
      </w:r>
    </w:p>
    <w:p>
      <w:pPr>
        <w:pStyle w:val="1"/>
        <w:jc w:val="both"/>
      </w:pPr>
      <w:r>
        <w:rPr>
          <w:sz w:val="20"/>
        </w:rPr>
        <w:t xml:space="preserve">основании ________________________________________________________________,</w:t>
      </w:r>
    </w:p>
    <w:p>
      <w:pPr>
        <w:pStyle w:val="1"/>
        <w:jc w:val="both"/>
      </w:pPr>
      <w:r>
        <w:rPr>
          <w:sz w:val="20"/>
        </w:rPr>
        <w:t xml:space="preserve">               (положение о федеральном органе исполнительной власти,</w:t>
      </w:r>
    </w:p>
    <w:p>
      <w:pPr>
        <w:pStyle w:val="1"/>
        <w:jc w:val="both"/>
      </w:pPr>
      <w:r>
        <w:rPr>
          <w:sz w:val="20"/>
        </w:rPr>
        <w:t xml:space="preserve">               доверенность, приказ или иной документ, удостоверяющий</w:t>
      </w:r>
    </w:p>
    <w:p>
      <w:pPr>
        <w:pStyle w:val="1"/>
        <w:jc w:val="both"/>
      </w:pPr>
      <w:r>
        <w:rPr>
          <w:sz w:val="20"/>
        </w:rPr>
        <w:t xml:space="preserve">                                     полномочия)</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высшего исполнительного органа</w:t>
      </w:r>
    </w:p>
    <w:p>
      <w:pPr>
        <w:pStyle w:val="1"/>
        <w:jc w:val="both"/>
      </w:pPr>
      <w:r>
        <w:rPr>
          <w:sz w:val="20"/>
        </w:rPr>
        <w:t xml:space="preserve">                            субъекта Российской Федерации) </w:t>
      </w:r>
      <w:hyperlink w:history="0" w:anchor="P497" w:tooltip="&lt;2&gt; Указывается наименование уполномоченного органа исполнительной власти субъекта Российской Федерации в случае, если он является стороной соглашения.">
        <w:r>
          <w:rPr>
            <w:sz w:val="20"/>
            <w:color w:val="0000ff"/>
          </w:rPr>
          <w:t xml:space="preserve">&lt;2&gt;</w:t>
        </w:r>
      </w:hyperlink>
    </w:p>
    <w:p>
      <w:pPr>
        <w:pStyle w:val="1"/>
        <w:jc w:val="both"/>
      </w:pPr>
      <w:r>
        <w:rPr>
          <w:sz w:val="20"/>
        </w:rPr>
        <w:t xml:space="preserve">именуемое(ая)        в       дальнейшем       "Субъект",       в       лице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руководителя высшего исполнительного органа</w:t>
      </w:r>
    </w:p>
    <w:p>
      <w:pPr>
        <w:pStyle w:val="1"/>
        <w:jc w:val="both"/>
      </w:pPr>
      <w:r>
        <w:rPr>
          <w:sz w:val="20"/>
        </w:rPr>
        <w:t xml:space="preserve">       субъекта Российской Федерации или уполномоченного им лица) </w:t>
      </w:r>
      <w:hyperlink w:history="0" w:anchor="P498" w:tooltip="&lt;3&gt; Указывается наименование должности руководителя уполномоченного органа исполнительной власти субъекта Российской Федерации или уполномоченного им лица в случае, если указанный орган является стороной соглашения.">
        <w:r>
          <w:rPr>
            <w:sz w:val="20"/>
            <w:color w:val="0000ff"/>
          </w:rPr>
          <w:t xml:space="preserve">&lt;3&gt;</w:t>
        </w:r>
      </w:hyperlink>
    </w:p>
    <w:p>
      <w:pPr>
        <w:pStyle w:val="1"/>
        <w:jc w:val="both"/>
      </w:pPr>
      <w:r>
        <w:rPr>
          <w:sz w:val="20"/>
        </w:rPr>
        <w:t xml:space="preserve">______________________________________________________, действующего(ей) на</w:t>
      </w:r>
    </w:p>
    <w:p>
      <w:pPr>
        <w:pStyle w:val="1"/>
        <w:jc w:val="both"/>
      </w:pPr>
      <w:r>
        <w:rPr>
          <w:sz w:val="20"/>
        </w:rPr>
        <w:t xml:space="preserve">  (фамилия, имя, отчество (последнее - при наличии)</w:t>
      </w:r>
    </w:p>
    <w:p>
      <w:pPr>
        <w:pStyle w:val="1"/>
        <w:jc w:val="both"/>
      </w:pPr>
      <w:r>
        <w:rPr>
          <w:sz w:val="20"/>
        </w:rPr>
        <w:t xml:space="preserve">основании ________________________________________________________________,</w:t>
      </w:r>
    </w:p>
    <w:p>
      <w:pPr>
        <w:pStyle w:val="1"/>
        <w:jc w:val="both"/>
      </w:pPr>
      <w:r>
        <w:rPr>
          <w:sz w:val="20"/>
        </w:rPr>
        <w:t xml:space="preserve">             (устав, закон субъекта Российской Федерации, доверенность</w:t>
      </w:r>
    </w:p>
    <w:p>
      <w:pPr>
        <w:pStyle w:val="1"/>
        <w:jc w:val="both"/>
      </w:pPr>
      <w:r>
        <w:rPr>
          <w:sz w:val="20"/>
        </w:rPr>
        <w:t xml:space="preserve">                   или иной документ, удостоверяющий полномочия)</w:t>
      </w:r>
    </w:p>
    <w:p>
      <w:pPr>
        <w:pStyle w:val="1"/>
        <w:jc w:val="both"/>
      </w:pPr>
      <w:r>
        <w:rPr>
          <w:sz w:val="20"/>
        </w:rPr>
        <w:t xml:space="preserve">с  другой  стороны,  далее при совместном упоминании именуемые "Стороны", в</w:t>
      </w:r>
    </w:p>
    <w:p>
      <w:pPr>
        <w:pStyle w:val="1"/>
        <w:jc w:val="both"/>
      </w:pPr>
      <w:r>
        <w:rPr>
          <w:sz w:val="20"/>
        </w:rPr>
        <w:t xml:space="preserve">соответствии   с   Бюджетным   </w:t>
      </w:r>
      <w:hyperlink w:history="0" r:id="rId29"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(Собрание</w:t>
      </w:r>
    </w:p>
    <w:p>
      <w:pPr>
        <w:pStyle w:val="1"/>
        <w:jc w:val="both"/>
      </w:pPr>
      <w:r>
        <w:rPr>
          <w:sz w:val="20"/>
        </w:rPr>
        <w:t xml:space="preserve">законодательства   Российской   Федерации,   1998,   N   31,   ст.   3823),</w:t>
      </w:r>
    </w:p>
    <w:p>
      <w:pPr>
        <w:pStyle w:val="1"/>
        <w:jc w:val="both"/>
      </w:pPr>
      <w:r>
        <w:rPr>
          <w:sz w:val="20"/>
        </w:rPr>
        <w:t xml:space="preserve">Федеральным      законом      от      "__"      _______________      N__-ФЗ</w:t>
      </w:r>
    </w:p>
    <w:p>
      <w:pPr>
        <w:pStyle w:val="1"/>
        <w:jc w:val="both"/>
      </w:pPr>
      <w:r>
        <w:rPr>
          <w:sz w:val="20"/>
        </w:rPr>
        <w:t xml:space="preserve">"________________________________________________________________________",</w:t>
      </w:r>
    </w:p>
    <w:p>
      <w:pPr>
        <w:pStyle w:val="1"/>
        <w:jc w:val="both"/>
      </w:pPr>
      <w:r>
        <w:rPr>
          <w:sz w:val="20"/>
        </w:rPr>
        <w:t xml:space="preserve"> (федеральный закон о федеральном бюджете на очередной финансовый год</w:t>
      </w:r>
    </w:p>
    <w:p>
      <w:pPr>
        <w:pStyle w:val="1"/>
        <w:jc w:val="both"/>
      </w:pPr>
      <w:r>
        <w:rPr>
          <w:sz w:val="20"/>
        </w:rPr>
        <w:t xml:space="preserve">    и на плановый период или федеральный закон о внесении изменений</w:t>
      </w:r>
    </w:p>
    <w:p>
      <w:pPr>
        <w:pStyle w:val="1"/>
        <w:jc w:val="both"/>
      </w:pPr>
      <w:r>
        <w:rPr>
          <w:sz w:val="20"/>
        </w:rPr>
        <w:t xml:space="preserve">    в федеральный закон о федеральном бюджете на текущий финансовый</w:t>
      </w:r>
    </w:p>
    <w:p>
      <w:pPr>
        <w:pStyle w:val="1"/>
        <w:jc w:val="both"/>
      </w:pPr>
      <w:r>
        <w:rPr>
          <w:sz w:val="20"/>
        </w:rPr>
        <w:t xml:space="preserve">                        год и плановый период)</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правил предоставления и распределения иных межбюджетных</w:t>
      </w:r>
    </w:p>
    <w:p>
      <w:pPr>
        <w:pStyle w:val="1"/>
        <w:jc w:val="both"/>
      </w:pPr>
      <w:r>
        <w:rPr>
          <w:sz w:val="20"/>
        </w:rPr>
        <w:t xml:space="preserve">     трансфертов, имеющих целевое назначение, из федерального бюджета</w:t>
      </w:r>
    </w:p>
    <w:p>
      <w:pPr>
        <w:pStyle w:val="1"/>
        <w:jc w:val="both"/>
      </w:pPr>
      <w:r>
        <w:rPr>
          <w:sz w:val="20"/>
        </w:rPr>
        <w:t xml:space="preserve">                 бюджетам субъектов Российской Федерации)</w:t>
      </w:r>
    </w:p>
    <w:p>
      <w:pPr>
        <w:pStyle w:val="1"/>
        <w:jc w:val="both"/>
      </w:pPr>
      <w:r>
        <w:rPr>
          <w:sz w:val="20"/>
        </w:rPr>
        <w:t xml:space="preserve">утвержденными  постановлением  Правительства  Российской  Федерации от "__"</w:t>
      </w:r>
    </w:p>
    <w:p>
      <w:pPr>
        <w:pStyle w:val="1"/>
        <w:jc w:val="both"/>
      </w:pPr>
      <w:r>
        <w:rPr>
          <w:sz w:val="20"/>
        </w:rPr>
        <w:t xml:space="preserve">___________   20__   г.   N   ____  (далее  -  Правила  предоставления иных</w:t>
      </w:r>
    </w:p>
    <w:p>
      <w:pPr>
        <w:pStyle w:val="1"/>
        <w:jc w:val="both"/>
      </w:pPr>
      <w:r>
        <w:rPr>
          <w:sz w:val="20"/>
        </w:rPr>
        <w:t xml:space="preserve">межбюджетных  трансфертов),  и постановлением (распоряжением) Правительства</w:t>
      </w:r>
    </w:p>
    <w:p>
      <w:pPr>
        <w:pStyle w:val="1"/>
        <w:jc w:val="both"/>
      </w:pPr>
      <w:r>
        <w:rPr>
          <w:sz w:val="20"/>
        </w:rPr>
        <w:t xml:space="preserve">Российской  Федерации  от  "__"  __________  20__  г.  N ____ </w:t>
      </w:r>
      <w:hyperlink w:history="0" w:anchor="P499" w:tooltip="&lt;4&gt; В случае, если Иной межбюджетный трансферт не распределен федеральным законом о федеральном бюджете на очередной финансовый год и плановый период (федеральным законом о внесении изменений в федеральный закон о федеральном бюджете на очередной финансовый год и плановый период) (далее при совместном упоминании - федеральные законы), указывается акт Правительства Российской Федерации, утверждающий распределение Иного межбюджетного трансферта.">
        <w:r>
          <w:rPr>
            <w:sz w:val="20"/>
            <w:color w:val="0000ff"/>
          </w:rPr>
          <w:t xml:space="preserve">&lt;4&gt;</w:t>
        </w:r>
      </w:hyperlink>
      <w:r>
        <w:rPr>
          <w:sz w:val="20"/>
        </w:rPr>
        <w:t xml:space="preserve"> заключили</w:t>
      </w:r>
    </w:p>
    <w:p>
      <w:pPr>
        <w:pStyle w:val="1"/>
        <w:jc w:val="both"/>
      </w:pPr>
      <w:r>
        <w:rPr>
          <w:sz w:val="20"/>
        </w:rPr>
        <w:t xml:space="preserve">настоящее Соглашение о нижеследующем.</w:t>
      </w:r>
    </w:p>
    <w:p>
      <w:pPr>
        <w:pStyle w:val="0"/>
        <w:jc w:val="both"/>
      </w:pPr>
      <w:r>
        <w:rPr>
          <w:sz w:val="20"/>
        </w:rPr>
      </w:r>
    </w:p>
    <w:p>
      <w:pPr>
        <w:pStyle w:val="0"/>
        <w:outlineLvl w:val="1"/>
        <w:jc w:val="center"/>
      </w:pPr>
      <w:r>
        <w:rPr>
          <w:sz w:val="20"/>
        </w:rPr>
        <w:t xml:space="preserve">I. Предмет Соглашения</w:t>
      </w:r>
    </w:p>
    <w:p>
      <w:pPr>
        <w:pStyle w:val="0"/>
        <w:jc w:val="both"/>
      </w:pPr>
      <w:r>
        <w:rPr>
          <w:sz w:val="20"/>
        </w:rPr>
      </w:r>
    </w:p>
    <w:bookmarkStart w:id="103" w:name="P103"/>
    <w:bookmarkEnd w:id="103"/>
    <w:p>
      <w:pPr>
        <w:pStyle w:val="1"/>
        <w:jc w:val="both"/>
      </w:pPr>
      <w:r>
        <w:rPr>
          <w:sz w:val="20"/>
        </w:rPr>
        <w:t xml:space="preserve">    1.1. Предметом    настоящего    Соглашения    является   предоставление</w:t>
      </w:r>
    </w:p>
    <w:p>
      <w:pPr>
        <w:pStyle w:val="1"/>
        <w:jc w:val="both"/>
      </w:pPr>
      <w:r>
        <w:rPr>
          <w:sz w:val="20"/>
        </w:rPr>
        <w:t xml:space="preserve">из     федерального     бюджета     в     20__   году/20__  -  20__   годах</w:t>
      </w:r>
    </w:p>
    <w:p>
      <w:pPr>
        <w:pStyle w:val="1"/>
        <w:jc w:val="both"/>
      </w:pPr>
      <w:r>
        <w:rPr>
          <w:sz w:val="20"/>
        </w:rPr>
        <w:t xml:space="preserve">_______________________________________________________ иного межбюджетного</w:t>
      </w:r>
    </w:p>
    <w:p>
      <w:pPr>
        <w:pStyle w:val="1"/>
        <w:jc w:val="both"/>
      </w:pPr>
      <w:r>
        <w:rPr>
          <w:sz w:val="20"/>
        </w:rPr>
        <w:t xml:space="preserve">       (бюджет субъекта Российской Федерации)</w:t>
      </w:r>
    </w:p>
    <w:p>
      <w:pPr>
        <w:pStyle w:val="1"/>
        <w:jc w:val="both"/>
      </w:pPr>
      <w:r>
        <w:rPr>
          <w:sz w:val="20"/>
        </w:rPr>
        <w:t xml:space="preserve">трансферта,             имеющего              целевое            назначение</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иного межбюджетного трансферта, имеющего целевое назначение)</w:t>
      </w:r>
    </w:p>
    <w:p>
      <w:pPr>
        <w:pStyle w:val="1"/>
        <w:jc w:val="both"/>
      </w:pPr>
      <w:r>
        <w:rPr>
          <w:sz w:val="20"/>
        </w:rPr>
        <w:t xml:space="preserve">(далее   -   Иной   межбюджетный  трансферт),  в  соответствии  с  лимитами</w:t>
      </w:r>
    </w:p>
    <w:p>
      <w:pPr>
        <w:pStyle w:val="1"/>
        <w:jc w:val="both"/>
      </w:pPr>
      <w:r>
        <w:rPr>
          <w:sz w:val="20"/>
        </w:rPr>
        <w:t xml:space="preserve">бюджетных                     обязательств,                     доведенными</w:t>
      </w:r>
    </w:p>
    <w:p>
      <w:pPr>
        <w:pStyle w:val="1"/>
        <w:jc w:val="both"/>
      </w:pPr>
      <w:r>
        <w:rPr>
          <w:sz w:val="20"/>
        </w:rPr>
        <w:t xml:space="preserve">___________________________________________________________________________</w:t>
      </w:r>
    </w:p>
    <w:p>
      <w:pPr>
        <w:pStyle w:val="1"/>
        <w:jc w:val="both"/>
      </w:pPr>
      <w:r>
        <w:rPr>
          <w:sz w:val="20"/>
        </w:rPr>
        <w:t xml:space="preserve">                     (Министерству, Агентству, Службе)</w:t>
      </w:r>
    </w:p>
    <w:p>
      <w:pPr>
        <w:pStyle w:val="1"/>
        <w:jc w:val="both"/>
      </w:pPr>
      <w:r>
        <w:rPr>
          <w:sz w:val="20"/>
        </w:rPr>
        <w:t xml:space="preserve">как   получателю   средств  федерального  бюджета  по  кодам  классификации</w:t>
      </w:r>
    </w:p>
    <w:p>
      <w:pPr>
        <w:pStyle w:val="1"/>
        <w:jc w:val="both"/>
      </w:pPr>
      <w:r>
        <w:rPr>
          <w:sz w:val="20"/>
        </w:rPr>
        <w:t xml:space="preserve">расходов бюджетов </w:t>
      </w:r>
      <w:hyperlink w:history="0" w:anchor="P501" w:tooltip="&lt;5&gt; В случае, если федеральными законами бюджетные ассигнования на предоставление Иного межбюджетного трансферта предусмотрены по разным кодам БК, указываются все коды БК, по которым в федеральном бюджете предусмотрены бюджетные ассигнования на предоставление Иного межбюджетного трансферта.">
        <w:r>
          <w:rPr>
            <w:sz w:val="20"/>
            <w:color w:val="0000ff"/>
          </w:rPr>
          <w:t xml:space="preserve">&lt;5&gt;</w:t>
        </w:r>
      </w:hyperlink>
      <w:r>
        <w:rPr>
          <w:sz w:val="20"/>
        </w:rPr>
        <w:t xml:space="preserve"> (далее - коды БК):</w:t>
      </w:r>
    </w:p>
    <w:p>
      <w:pPr>
        <w:pStyle w:val="1"/>
        <w:jc w:val="both"/>
      </w:pPr>
      <w:r>
        <w:rPr>
          <w:sz w:val="20"/>
        </w:rPr>
        <w:t xml:space="preserve">    код  главного  распорядителя  средств  федерального бюджета __________,</w:t>
      </w:r>
    </w:p>
    <w:p>
      <w:pPr>
        <w:pStyle w:val="1"/>
        <w:jc w:val="both"/>
      </w:pPr>
      <w:r>
        <w:rPr>
          <w:sz w:val="20"/>
        </w:rPr>
        <w:t xml:space="preserve">раздел _______, подраздел ________, целевая статья __________, вид расходов</w:t>
      </w:r>
    </w:p>
    <w:p>
      <w:pPr>
        <w:pStyle w:val="1"/>
        <w:jc w:val="both"/>
      </w:pPr>
      <w:r>
        <w:rPr>
          <w:sz w:val="20"/>
        </w:rPr>
        <w:t xml:space="preserve">_______ в целях достижения  мероприятий (результатов) федерального  проекта</w:t>
      </w:r>
    </w:p>
    <w:p>
      <w:pPr>
        <w:pStyle w:val="1"/>
        <w:jc w:val="both"/>
      </w:pPr>
      <w:r>
        <w:rPr>
          <w:sz w:val="20"/>
        </w:rPr>
        <w:t xml:space="preserve">"________________________________________"   и   мероприятий  (результатов)</w:t>
      </w:r>
    </w:p>
    <w:p>
      <w:pPr>
        <w:pStyle w:val="1"/>
        <w:jc w:val="both"/>
      </w:pPr>
      <w:r>
        <w:rPr>
          <w:sz w:val="20"/>
        </w:rPr>
        <w:t xml:space="preserve">    (наименование федерального проекта)</w:t>
      </w:r>
    </w:p>
    <w:p>
      <w:pPr>
        <w:pStyle w:val="1"/>
        <w:jc w:val="both"/>
      </w:pPr>
      <w:r>
        <w:rPr>
          <w:sz w:val="20"/>
        </w:rPr>
        <w:t xml:space="preserve">регионального   проекта  "________________________________________"  </w:t>
      </w:r>
      <w:hyperlink w:history="0" w:anchor="P500" w:tooltip="&lt;5.1&gt; Указывается наименование регионального проекта в случаях, когда Иной межбюджетный трансферт предоставляется в целях достижения мероприятий (результатов) регионального проекта, обеспечивающего достижение целей, показателей и мероприятий (результатов) федерального проекта, входящего в состав соответствующего национального проекта.">
        <w:r>
          <w:rPr>
            <w:sz w:val="20"/>
            <w:color w:val="0000ff"/>
          </w:rPr>
          <w:t xml:space="preserve">&lt;5.1&gt;</w:t>
        </w:r>
      </w:hyperlink>
      <w:r>
        <w:rPr>
          <w:sz w:val="20"/>
        </w:rPr>
        <w:t xml:space="preserve">,</w:t>
      </w:r>
    </w:p>
    <w:p>
      <w:pPr>
        <w:pStyle w:val="1"/>
        <w:jc w:val="both"/>
      </w:pPr>
      <w:r>
        <w:rPr>
          <w:sz w:val="20"/>
        </w:rPr>
        <w:t xml:space="preserve">                           (наименование  регионального  проекта)</w:t>
      </w:r>
    </w:p>
    <w:p>
      <w:pPr>
        <w:pStyle w:val="1"/>
        <w:jc w:val="both"/>
      </w:pPr>
      <w:r>
        <w:rPr>
          <w:sz w:val="20"/>
        </w:rPr>
        <w:t xml:space="preserve">в     рамках     государственной     программы     Российской     Федерации</w:t>
      </w:r>
    </w:p>
    <w:p>
      <w:pPr>
        <w:pStyle w:val="1"/>
        <w:jc w:val="both"/>
      </w:pPr>
      <w:r>
        <w:rPr>
          <w:sz w:val="20"/>
        </w:rPr>
        <w:t xml:space="preserve">"_________________________________________" </w:t>
      </w:r>
      <w:hyperlink w:history="0" w:anchor="P502" w:tooltip="&lt;6&gt; Указываются наименования федерального проекта и государственной программы Российской Федерации, структурным элементом которой является федеральный проект.">
        <w:r>
          <w:rPr>
            <w:sz w:val="20"/>
            <w:color w:val="0000ff"/>
          </w:rPr>
          <w:t xml:space="preserve">&lt;6&gt;</w:t>
        </w:r>
      </w:hyperlink>
      <w:r>
        <w:rPr>
          <w:sz w:val="20"/>
        </w:rPr>
        <w:t xml:space="preserve">.</w:t>
      </w:r>
    </w:p>
    <w:p>
      <w:pPr>
        <w:pStyle w:val="1"/>
        <w:jc w:val="both"/>
      </w:pPr>
      <w:r>
        <w:rPr>
          <w:sz w:val="20"/>
        </w:rPr>
        <w:t xml:space="preserve">  (наименование государственной программы</w:t>
      </w:r>
    </w:p>
    <w:p>
      <w:pPr>
        <w:pStyle w:val="1"/>
        <w:jc w:val="both"/>
      </w:pPr>
      <w:r>
        <w:rPr>
          <w:sz w:val="20"/>
        </w:rPr>
        <w:t xml:space="preserve">           Российской Федерации)</w:t>
      </w:r>
    </w:p>
    <w:p>
      <w:pPr>
        <w:pStyle w:val="0"/>
        <w:ind w:firstLine="540"/>
        <w:jc w:val="both"/>
      </w:pPr>
      <w:r>
        <w:rPr>
          <w:sz w:val="20"/>
        </w:rPr>
        <w:t xml:space="preserve">1.2. Иной межбюджетный трансферт предоставляется в соответствии с </w:t>
      </w:r>
      <w:hyperlink w:history="0" w:anchor="P589" w:tooltip="                                Информация">
        <w:r>
          <w:rPr>
            <w:sz w:val="20"/>
            <w:color w:val="0000ff"/>
          </w:rPr>
          <w:t xml:space="preserve">приложением N 1</w:t>
        </w:r>
      </w:hyperlink>
      <w:r>
        <w:rPr>
          <w:sz w:val="20"/>
        </w:rPr>
        <w:t xml:space="preserve"> к настоящему Соглашению </w:t>
      </w:r>
      <w:hyperlink w:history="0" w:anchor="P503" w:tooltip="&lt;7&gt; Оформляется приложение к соглашению в соответствии с приложением N 1 к настоящей Типовой форме соглашения.">
        <w:r>
          <w:rPr>
            <w:sz w:val="20"/>
            <w:color w:val="0000ff"/>
          </w:rPr>
          <w:t xml:space="preserve">&lt;7&gt;</w:t>
        </w:r>
      </w:hyperlink>
      <w:r>
        <w:rPr>
          <w:sz w:val="20"/>
        </w:rPr>
        <w:t xml:space="preserve">, являющимся его неотъемлемой частью, в целях софинансирования расходных обязательств субъекта Российской Федерации, в том числе возникающих при осуществлении капитальных вложений в объекты капитального строительства государственной собственности субъекта Российской Федерации (муниципальной собственности) и (или) объекты недвижимого имущества, приобретаемые в государственную собственность субъекта Российской Федерации (муниципальную собственность).</w:t>
      </w:r>
    </w:p>
    <w:p>
      <w:pPr>
        <w:pStyle w:val="1"/>
        <w:spacing w:before="200" w:lineRule="auto"/>
        <w:jc w:val="both"/>
      </w:pPr>
      <w:r>
        <w:rPr>
          <w:sz w:val="20"/>
        </w:rPr>
        <w:t xml:space="preserve">    1.3.  Расходные  обязательства  субъекта  Российской Федерации, в целях</w:t>
      </w:r>
    </w:p>
    <w:p>
      <w:pPr>
        <w:pStyle w:val="1"/>
        <w:jc w:val="both"/>
      </w:pPr>
      <w:r>
        <w:rPr>
          <w:sz w:val="20"/>
        </w:rPr>
        <w:t xml:space="preserve">софинансирования   которых  предоставляется  Иной  межбюджетный  трансферт,</w:t>
      </w:r>
    </w:p>
    <w:p>
      <w:pPr>
        <w:pStyle w:val="1"/>
        <w:jc w:val="both"/>
      </w:pPr>
      <w:r>
        <w:rPr>
          <w:sz w:val="20"/>
        </w:rPr>
        <w:t xml:space="preserve">установлены ________________________________________________________ </w:t>
      </w:r>
      <w:hyperlink w:history="0" w:anchor="P504" w:tooltip="&lt;8&gt; Предусматривается в случаях, если Правилами предоставления иных межбюджетных трансфертов предусмотрено наличие утвержденного правовым актом субъекта Российской Федерации перечня мероприятий, в целях софинансирования которых предоставляется Иной межбюджетный трансферт. При этом могут быть указаны реквизиты нескольких правовых актов субъекта Российской Федерации, обуславливающих расходные обязательства субъекта Российской Федерации, в целях софинансирования которых предоставляется Иной межбюджетный тра...">
        <w:r>
          <w:rPr>
            <w:sz w:val="20"/>
            <w:color w:val="0000ff"/>
          </w:rPr>
          <w:t xml:space="preserve">&lt;8&gt;</w:t>
        </w:r>
      </w:hyperlink>
      <w:r>
        <w:rPr>
          <w:sz w:val="20"/>
        </w:rPr>
        <w:t xml:space="preserve">.</w:t>
      </w:r>
    </w:p>
    <w:p>
      <w:pPr>
        <w:pStyle w:val="1"/>
        <w:jc w:val="both"/>
      </w:pPr>
      <w:r>
        <w:rPr>
          <w:sz w:val="20"/>
        </w:rPr>
        <w:t xml:space="preserve">            (реквизиты правового акта субъекта Российской Федерации</w:t>
      </w:r>
    </w:p>
    <w:p>
      <w:pPr>
        <w:pStyle w:val="1"/>
        <w:jc w:val="both"/>
      </w:pPr>
      <w:r>
        <w:rPr>
          <w:sz w:val="20"/>
        </w:rPr>
        <w:t xml:space="preserve">                      при наличии правового акта на дату</w:t>
      </w:r>
    </w:p>
    <w:p>
      <w:pPr>
        <w:pStyle w:val="1"/>
        <w:jc w:val="both"/>
      </w:pPr>
      <w:r>
        <w:rPr>
          <w:sz w:val="20"/>
        </w:rPr>
        <w:t xml:space="preserve">                            подписания соглашения)</w:t>
      </w:r>
    </w:p>
    <w:p>
      <w:pPr>
        <w:pStyle w:val="0"/>
        <w:jc w:val="both"/>
      </w:pPr>
      <w:r>
        <w:rPr>
          <w:sz w:val="20"/>
        </w:rPr>
      </w:r>
    </w:p>
    <w:p>
      <w:pPr>
        <w:pStyle w:val="0"/>
        <w:outlineLvl w:val="1"/>
        <w:jc w:val="center"/>
      </w:pPr>
      <w:r>
        <w:rPr>
          <w:sz w:val="20"/>
        </w:rPr>
        <w:t xml:space="preserve">II. Финансовое обеспечение расходных обязательств</w:t>
      </w:r>
    </w:p>
    <w:p>
      <w:pPr>
        <w:pStyle w:val="0"/>
        <w:jc w:val="center"/>
      </w:pPr>
      <w:r>
        <w:rPr>
          <w:sz w:val="20"/>
        </w:rPr>
        <w:t xml:space="preserve">субъекта Российской Федерации, в целях софинансирования</w:t>
      </w:r>
    </w:p>
    <w:p>
      <w:pPr>
        <w:pStyle w:val="0"/>
        <w:jc w:val="center"/>
      </w:pPr>
      <w:r>
        <w:rPr>
          <w:sz w:val="20"/>
        </w:rPr>
        <w:t xml:space="preserve">которых предоставляется Иной межбюджетный трансферт</w:t>
      </w:r>
    </w:p>
    <w:p>
      <w:pPr>
        <w:pStyle w:val="0"/>
        <w:jc w:val="both"/>
      </w:pPr>
      <w:r>
        <w:rPr>
          <w:sz w:val="20"/>
        </w:rPr>
      </w:r>
    </w:p>
    <w:bookmarkStart w:id="139" w:name="P139"/>
    <w:bookmarkEnd w:id="139"/>
    <w:p>
      <w:pPr>
        <w:pStyle w:val="1"/>
        <w:jc w:val="both"/>
      </w:pPr>
      <w:r>
        <w:rPr>
          <w:sz w:val="20"/>
        </w:rPr>
        <w:t xml:space="preserve">    2.1. Общий    объем   бюджетных   ассигнований,   предусматриваемых   в</w:t>
      </w:r>
    </w:p>
    <w:p>
      <w:pPr>
        <w:pStyle w:val="1"/>
        <w:jc w:val="both"/>
      </w:pPr>
      <w:r>
        <w:rPr>
          <w:sz w:val="20"/>
        </w:rPr>
        <w:t xml:space="preserve">_________________________________________________ на финансовое обеспечение</w:t>
      </w:r>
    </w:p>
    <w:p>
      <w:pPr>
        <w:pStyle w:val="1"/>
        <w:jc w:val="both"/>
      </w:pPr>
      <w:r>
        <w:rPr>
          <w:sz w:val="20"/>
        </w:rPr>
        <w:t xml:space="preserve">     (бюджет субъекта Российской Федерации)</w:t>
      </w:r>
    </w:p>
    <w:p>
      <w:pPr>
        <w:pStyle w:val="1"/>
        <w:jc w:val="both"/>
      </w:pPr>
      <w:r>
        <w:rPr>
          <w:sz w:val="20"/>
        </w:rPr>
        <w:t xml:space="preserve">расходных  обязательств  в  целях  софинансирования которых предоставляется</w:t>
      </w:r>
    </w:p>
    <w:p>
      <w:pPr>
        <w:pStyle w:val="1"/>
        <w:jc w:val="both"/>
      </w:pPr>
      <w:r>
        <w:rPr>
          <w:sz w:val="20"/>
        </w:rPr>
        <w:t xml:space="preserve">Иной межбюджетный трансферт, составляет:</w:t>
      </w:r>
    </w:p>
    <w:p>
      <w:pPr>
        <w:pStyle w:val="1"/>
        <w:jc w:val="both"/>
      </w:pPr>
      <w:r>
        <w:rPr>
          <w:sz w:val="20"/>
        </w:rPr>
        <w:t xml:space="preserve">    в 20__ году ___________ (________________) рублей __ копеек,</w:t>
      </w:r>
    </w:p>
    <w:p>
      <w:pPr>
        <w:pStyle w:val="1"/>
        <w:jc w:val="both"/>
      </w:pPr>
      <w:r>
        <w:rPr>
          <w:sz w:val="20"/>
        </w:rPr>
        <w:t xml:space="preserve">                             (сумма прописью)</w:t>
      </w:r>
    </w:p>
    <w:p>
      <w:pPr>
        <w:pStyle w:val="1"/>
        <w:jc w:val="both"/>
      </w:pPr>
      <w:r>
        <w:rPr>
          <w:sz w:val="20"/>
        </w:rPr>
        <w:t xml:space="preserve">    в 20__ году ___________ (________________) рублей __ копеек,</w:t>
      </w:r>
    </w:p>
    <w:p>
      <w:pPr>
        <w:pStyle w:val="1"/>
        <w:jc w:val="both"/>
      </w:pPr>
      <w:r>
        <w:rPr>
          <w:sz w:val="20"/>
        </w:rPr>
        <w:t xml:space="preserve">                             (сумма прописью)</w:t>
      </w:r>
    </w:p>
    <w:p>
      <w:pPr>
        <w:pStyle w:val="1"/>
        <w:jc w:val="both"/>
      </w:pPr>
      <w:r>
        <w:rPr>
          <w:sz w:val="20"/>
        </w:rPr>
        <w:t xml:space="preserve">    в 20__ году ___________ (________________) рублей __ копеек </w:t>
      </w:r>
      <w:hyperlink w:history="0" w:anchor="P505" w:tooltip="&lt;9&gt; Указываются значения, содержащиеся в графах 7 - 9 по строке &quot;Итого&quot; по годам в приложении N 1 к соглашению.">
        <w:r>
          <w:rPr>
            <w:sz w:val="20"/>
            <w:color w:val="0000ff"/>
          </w:rPr>
          <w:t xml:space="preserve">&lt;9&gt;</w:t>
        </w:r>
      </w:hyperlink>
      <w:r>
        <w:rPr>
          <w:sz w:val="20"/>
        </w:rPr>
        <w:t xml:space="preserve">.</w:t>
      </w:r>
    </w:p>
    <w:p>
      <w:pPr>
        <w:pStyle w:val="1"/>
        <w:jc w:val="both"/>
      </w:pPr>
      <w:r>
        <w:rPr>
          <w:sz w:val="20"/>
        </w:rPr>
        <w:t xml:space="preserve">                             (сумма прописью)</w:t>
      </w:r>
    </w:p>
    <w:bookmarkStart w:id="150" w:name="P150"/>
    <w:bookmarkEnd w:id="150"/>
    <w:p>
      <w:pPr>
        <w:pStyle w:val="1"/>
        <w:jc w:val="both"/>
      </w:pPr>
      <w:r>
        <w:rPr>
          <w:sz w:val="20"/>
        </w:rPr>
        <w:t xml:space="preserve">    2.2.      Общий      размер     Иного     межбюджетного     трансферта,</w:t>
      </w:r>
    </w:p>
    <w:p>
      <w:pPr>
        <w:pStyle w:val="1"/>
        <w:jc w:val="both"/>
      </w:pPr>
      <w:r>
        <w:rPr>
          <w:sz w:val="20"/>
        </w:rPr>
        <w:t xml:space="preserve">предоставляемого              из            федерального            бюджета</w:t>
      </w:r>
    </w:p>
    <w:p>
      <w:pPr>
        <w:pStyle w:val="1"/>
        <w:jc w:val="both"/>
      </w:pPr>
      <w:r>
        <w:rPr>
          <w:sz w:val="20"/>
        </w:rPr>
        <w:t xml:space="preserve">________________________________________________ в соответствии с настоящим</w:t>
      </w:r>
    </w:p>
    <w:p>
      <w:pPr>
        <w:pStyle w:val="1"/>
        <w:jc w:val="both"/>
      </w:pPr>
      <w:r>
        <w:rPr>
          <w:sz w:val="20"/>
        </w:rPr>
        <w:t xml:space="preserve">     (бюджет субъекта Российской Федерации)</w:t>
      </w:r>
    </w:p>
    <w:p>
      <w:pPr>
        <w:pStyle w:val="1"/>
        <w:jc w:val="both"/>
      </w:pPr>
      <w:r>
        <w:rPr>
          <w:sz w:val="20"/>
        </w:rPr>
        <w:t xml:space="preserve">Соглашением:</w:t>
      </w:r>
    </w:p>
    <w:bookmarkStart w:id="155" w:name="P155"/>
    <w:bookmarkEnd w:id="155"/>
    <w:p>
      <w:pPr>
        <w:pStyle w:val="0"/>
        <w:ind w:firstLine="540"/>
        <w:jc w:val="both"/>
      </w:pPr>
      <w:r>
        <w:rPr>
          <w:sz w:val="20"/>
        </w:rPr>
        <w:t xml:space="preserve">а) составляет </w:t>
      </w:r>
      <w:hyperlink w:history="0" w:anchor="P506" w:tooltip="&lt;10&gt; Указываются значения, содержащиеся в графах 11 - 13 по строке &quot;Итого&quot; по годам приложения N 1 к соглашению. Подпункт &quot;а&quot; пункта 2.2 предусматривается в случае, если Правилами предоставления иных межбюджетных трансфертов предусмотрено софинансирование расходного обязательства субъекта Российской Федерации в полном объеме расходного обязательства субъекта Российской Федерации. В этом случае в приложении N 1 к соглашению графы &quot;уровень софинансирования&quot; не заполняются.">
        <w:r>
          <w:rPr>
            <w:sz w:val="20"/>
            <w:color w:val="0000ff"/>
          </w:rPr>
          <w:t xml:space="preserve">&lt;10&gt;</w:t>
        </w:r>
      </w:hyperlink>
      <w:r>
        <w:rPr>
          <w:sz w:val="20"/>
        </w:rPr>
        <w:t xml:space="preserve">:</w:t>
      </w:r>
    </w:p>
    <w:p>
      <w:pPr>
        <w:pStyle w:val="1"/>
        <w:spacing w:before="200" w:lineRule="auto"/>
        <w:jc w:val="both"/>
      </w:pPr>
      <w:r>
        <w:rPr>
          <w:sz w:val="20"/>
        </w:rPr>
        <w:t xml:space="preserve">    в 20__ году ___________ (________________) рублей __ копеек,</w:t>
      </w:r>
    </w:p>
    <w:p>
      <w:pPr>
        <w:pStyle w:val="1"/>
        <w:jc w:val="both"/>
      </w:pPr>
      <w:r>
        <w:rPr>
          <w:sz w:val="20"/>
        </w:rPr>
        <w:t xml:space="preserve">                             (сумма прописью)</w:t>
      </w:r>
    </w:p>
    <w:p>
      <w:pPr>
        <w:pStyle w:val="1"/>
        <w:jc w:val="both"/>
      </w:pPr>
      <w:r>
        <w:rPr>
          <w:sz w:val="20"/>
        </w:rPr>
        <w:t xml:space="preserve">    в 20__ году ___________ (________________) рублей __ копеек,</w:t>
      </w:r>
    </w:p>
    <w:p>
      <w:pPr>
        <w:pStyle w:val="1"/>
        <w:jc w:val="both"/>
      </w:pPr>
      <w:r>
        <w:rPr>
          <w:sz w:val="20"/>
        </w:rPr>
        <w:t xml:space="preserve">                             (сумма прописью)</w:t>
      </w:r>
    </w:p>
    <w:p>
      <w:pPr>
        <w:pStyle w:val="1"/>
        <w:jc w:val="both"/>
      </w:pPr>
      <w:r>
        <w:rPr>
          <w:sz w:val="20"/>
        </w:rPr>
        <w:t xml:space="preserve">    в 20__ году ___________ (________________) рублей __ копеек;</w:t>
      </w:r>
    </w:p>
    <w:p>
      <w:pPr>
        <w:pStyle w:val="1"/>
        <w:jc w:val="both"/>
      </w:pPr>
      <w:r>
        <w:rPr>
          <w:sz w:val="20"/>
        </w:rPr>
        <w:t xml:space="preserve">                             (сумма прописью)</w:t>
      </w:r>
    </w:p>
    <w:bookmarkStart w:id="162" w:name="P162"/>
    <w:bookmarkEnd w:id="162"/>
    <w:p>
      <w:pPr>
        <w:pStyle w:val="0"/>
        <w:ind w:firstLine="540"/>
        <w:jc w:val="both"/>
      </w:pPr>
      <w:r>
        <w:rPr>
          <w:sz w:val="20"/>
        </w:rPr>
        <w:t xml:space="preserve">б) исходя из выраженного в процентах от общего объема расходного обязательства субъекта Российской Федерации в целях софинансирования которого(ых) предоставляется Иной межбюджетный трансферт, уровня софинансирования, равного:</w:t>
      </w:r>
    </w:p>
    <w:p>
      <w:pPr>
        <w:pStyle w:val="1"/>
        <w:spacing w:before="200" w:lineRule="auto"/>
        <w:jc w:val="both"/>
      </w:pPr>
      <w:r>
        <w:rPr>
          <w:sz w:val="20"/>
        </w:rPr>
        <w:t xml:space="preserve">    _______________% составляет в 20__ году не более ______________________</w:t>
      </w:r>
    </w:p>
    <w:p>
      <w:pPr>
        <w:pStyle w:val="1"/>
        <w:jc w:val="both"/>
      </w:pPr>
      <w:r>
        <w:rPr>
          <w:sz w:val="20"/>
        </w:rPr>
        <w:t xml:space="preserve">(______________________) рублей __ копеек,</w:t>
      </w:r>
    </w:p>
    <w:p>
      <w:pPr>
        <w:pStyle w:val="1"/>
        <w:jc w:val="both"/>
      </w:pPr>
      <w:r>
        <w:rPr>
          <w:sz w:val="20"/>
        </w:rPr>
        <w:t xml:space="preserve">    (сумма прописью)</w:t>
      </w:r>
    </w:p>
    <w:p>
      <w:pPr>
        <w:pStyle w:val="1"/>
        <w:jc w:val="both"/>
      </w:pPr>
      <w:r>
        <w:rPr>
          <w:sz w:val="20"/>
        </w:rPr>
        <w:t xml:space="preserve">    _______________% составляет в 20__ году не более ______________________</w:t>
      </w:r>
    </w:p>
    <w:p>
      <w:pPr>
        <w:pStyle w:val="1"/>
        <w:jc w:val="both"/>
      </w:pPr>
      <w:r>
        <w:rPr>
          <w:sz w:val="20"/>
        </w:rPr>
        <w:t xml:space="preserve">(______________________) рублей __ копеек,</w:t>
      </w:r>
    </w:p>
    <w:p>
      <w:pPr>
        <w:pStyle w:val="1"/>
        <w:jc w:val="both"/>
      </w:pPr>
      <w:r>
        <w:rPr>
          <w:sz w:val="20"/>
        </w:rPr>
        <w:t xml:space="preserve">    (сумма прописью)</w:t>
      </w:r>
    </w:p>
    <w:p>
      <w:pPr>
        <w:pStyle w:val="1"/>
        <w:jc w:val="both"/>
      </w:pPr>
      <w:r>
        <w:rPr>
          <w:sz w:val="20"/>
        </w:rPr>
        <w:t xml:space="preserve">    _______________% составляет в 20__ году не более ______________________</w:t>
      </w:r>
    </w:p>
    <w:p>
      <w:pPr>
        <w:pStyle w:val="1"/>
        <w:jc w:val="both"/>
      </w:pPr>
      <w:r>
        <w:rPr>
          <w:sz w:val="20"/>
        </w:rPr>
        <w:t xml:space="preserve">(______________________) рублей __ копеек </w:t>
      </w:r>
      <w:hyperlink w:history="0" w:anchor="P507" w:tooltip="&lt;11&gt; Указываются значения, содержащиеся в графах 11 - 13 по строке &quot;Итого&quot; по годам приложения N 1 к соглашению. Подпункт &quot;б&quot; пункта 2.2 предусматривается в случае принятия главным распорядителем средств федерального бюджета, которому как получателю средств федерального бюджета доведены лимиты бюджетных обязательств на предоставление Иного межбюджетного трансферта, в целях софинансирования расходных обязательств субъекта Российской Федерации, не связанных с осуществлением капитальных вложений в объекты к...">
        <w:r>
          <w:rPr>
            <w:sz w:val="20"/>
            <w:color w:val="0000ff"/>
          </w:rPr>
          <w:t xml:space="preserve">&lt;11&gt;</w:t>
        </w:r>
      </w:hyperlink>
      <w:r>
        <w:rPr>
          <w:sz w:val="20"/>
        </w:rPr>
        <w:t xml:space="preserve">;</w:t>
      </w:r>
    </w:p>
    <w:p>
      <w:pPr>
        <w:pStyle w:val="1"/>
        <w:jc w:val="both"/>
      </w:pPr>
      <w:r>
        <w:rPr>
          <w:sz w:val="20"/>
        </w:rPr>
        <w:t xml:space="preserve">    (сумма прописью)</w:t>
      </w:r>
    </w:p>
    <w:bookmarkStart w:id="172" w:name="P172"/>
    <w:bookmarkEnd w:id="172"/>
    <w:p>
      <w:pPr>
        <w:pStyle w:val="0"/>
        <w:ind w:firstLine="540"/>
        <w:jc w:val="both"/>
      </w:pPr>
      <w:r>
        <w:rPr>
          <w:sz w:val="20"/>
        </w:rPr>
        <w:t xml:space="preserve">в) исходя из уровней софинансирования, выраженных в процентах от объема расходного обязательства субъекта Российской Федерации (исходя из уровня софинансирования, выраженного в процентах по каждому результату предоставления Иного межбюджетного трансферта, в том числе объекту капитального строительства государственной собственности субъекта Российской Федерации (муниципальной собственности) и (или) объекту недвижимого имущества, приобретаемому в государственную собственность субъекта Российской Федерации (муниципальную собственность), в целях софинансирования которых (капитальных вложений в которые) предоставляется Иной межбюджетный трансферт, и указанных в </w:t>
      </w:r>
      <w:hyperlink w:history="0" w:anchor="P589" w:tooltip="                                Информация">
        <w:r>
          <w:rPr>
            <w:sz w:val="20"/>
            <w:color w:val="0000ff"/>
          </w:rPr>
          <w:t xml:space="preserve">приложении N 1</w:t>
        </w:r>
      </w:hyperlink>
      <w:r>
        <w:rPr>
          <w:sz w:val="20"/>
        </w:rPr>
        <w:t xml:space="preserve"> к настоящему Соглашению, являющемся его неотъемлемой частью, составляет:</w:t>
      </w:r>
    </w:p>
    <w:p>
      <w:pPr>
        <w:pStyle w:val="1"/>
        <w:spacing w:before="200" w:lineRule="auto"/>
        <w:jc w:val="both"/>
      </w:pPr>
      <w:r>
        <w:rPr>
          <w:sz w:val="20"/>
        </w:rPr>
        <w:t xml:space="preserve">    в 20__ году ___________ (________________) рублей __ копеек,</w:t>
      </w:r>
    </w:p>
    <w:p>
      <w:pPr>
        <w:pStyle w:val="1"/>
        <w:jc w:val="both"/>
      </w:pPr>
      <w:r>
        <w:rPr>
          <w:sz w:val="20"/>
        </w:rPr>
        <w:t xml:space="preserve">                             (сумма прописью)</w:t>
      </w:r>
    </w:p>
    <w:p>
      <w:pPr>
        <w:pStyle w:val="1"/>
        <w:jc w:val="both"/>
      </w:pPr>
      <w:r>
        <w:rPr>
          <w:sz w:val="20"/>
        </w:rPr>
        <w:t xml:space="preserve">    в 20__ году ___________ (________________) рублей __ копеек,</w:t>
      </w:r>
    </w:p>
    <w:p>
      <w:pPr>
        <w:pStyle w:val="1"/>
        <w:jc w:val="both"/>
      </w:pPr>
      <w:r>
        <w:rPr>
          <w:sz w:val="20"/>
        </w:rPr>
        <w:t xml:space="preserve">                             (сумма прописью)</w:t>
      </w:r>
    </w:p>
    <w:p>
      <w:pPr>
        <w:pStyle w:val="1"/>
        <w:jc w:val="both"/>
      </w:pPr>
      <w:r>
        <w:rPr>
          <w:sz w:val="20"/>
        </w:rPr>
        <w:t xml:space="preserve">    в 20__ году ___________ (________________) рублей __ копеек </w:t>
      </w:r>
      <w:hyperlink w:history="0" w:anchor="P508" w:tooltip="&lt;12&gt; Указываются значения, содержащиеся в графах 11 - 13 по строке &quot;Итого&quot; по годам приложения N 1 к соглашению. Подпункт &quot;в&quot; пункта 2.2 предусматривается в случае, если Иной межбюджетный трансферт предоставляется в целях софинансирования расходных обязательств субъекта Российской Федерации, возникающих при осуществлении капитальных вложений в объекты капитального строительства (объекты недвижимого имущества), а также в случае принятия главным распорядителем средств федерального бюджета, которому как пол...">
        <w:r>
          <w:rPr>
            <w:sz w:val="20"/>
            <w:color w:val="0000ff"/>
          </w:rPr>
          <w:t xml:space="preserve">&lt;12&gt;</w:t>
        </w:r>
      </w:hyperlink>
      <w:r>
        <w:rPr>
          <w:sz w:val="20"/>
        </w:rPr>
        <w:t xml:space="preserve">.</w:t>
      </w:r>
    </w:p>
    <w:p>
      <w:pPr>
        <w:pStyle w:val="1"/>
        <w:jc w:val="both"/>
      </w:pPr>
      <w:r>
        <w:rPr>
          <w:sz w:val="20"/>
        </w:rPr>
        <w:t xml:space="preserve">                             (сумма прописью)</w:t>
      </w:r>
    </w:p>
    <w:bookmarkStart w:id="179" w:name="P179"/>
    <w:bookmarkEnd w:id="179"/>
    <w:p>
      <w:pPr>
        <w:pStyle w:val="1"/>
        <w:jc w:val="both"/>
      </w:pPr>
      <w:r>
        <w:rPr>
          <w:sz w:val="20"/>
        </w:rPr>
        <w:t xml:space="preserve">    2.2.1.  В случае уменьшения объема бюджетных ассигнований, указанного в</w:t>
      </w:r>
    </w:p>
    <w:p>
      <w:pPr>
        <w:pStyle w:val="1"/>
        <w:jc w:val="both"/>
      </w:pPr>
      <w:hyperlink w:history="0" w:anchor="P139" w:tooltip="    2.1. Общий    объем   бюджетных   ассигнований,   предусматриваемых   в">
        <w:r>
          <w:rPr>
            <w:sz w:val="20"/>
            <w:color w:val="0000ff"/>
          </w:rPr>
          <w:t xml:space="preserve">пункте 2.1</w:t>
        </w:r>
      </w:hyperlink>
      <w:r>
        <w:rPr>
          <w:sz w:val="20"/>
        </w:rPr>
        <w:t xml:space="preserve"> настоящего Соглашения, в том числе в связи с уменьшением сметной</w:t>
      </w:r>
    </w:p>
    <w:p>
      <w:pPr>
        <w:pStyle w:val="1"/>
        <w:jc w:val="both"/>
      </w:pPr>
      <w:r>
        <w:rPr>
          <w:sz w:val="20"/>
        </w:rPr>
        <w:t xml:space="preserve">или  предполагаемой  (предельной) стоимости строительства (реконструкции, в</w:t>
      </w:r>
    </w:p>
    <w:p>
      <w:pPr>
        <w:pStyle w:val="1"/>
        <w:jc w:val="both"/>
      </w:pPr>
      <w:r>
        <w:rPr>
          <w:sz w:val="20"/>
        </w:rPr>
        <w:t xml:space="preserve">том  числе  с  элементами реставрации, технического перевооружения) объекта</w:t>
      </w:r>
    </w:p>
    <w:p>
      <w:pPr>
        <w:pStyle w:val="1"/>
        <w:jc w:val="both"/>
      </w:pPr>
      <w:r>
        <w:rPr>
          <w:sz w:val="20"/>
        </w:rPr>
        <w:t xml:space="preserve">капитального    строительства    государственной   собственности   субъекта</w:t>
      </w:r>
    </w:p>
    <w:p>
      <w:pPr>
        <w:pStyle w:val="1"/>
        <w:jc w:val="both"/>
      </w:pPr>
      <w:r>
        <w:rPr>
          <w:sz w:val="20"/>
        </w:rPr>
        <w:t xml:space="preserve">Российской   Федерации   (муниципальной   собственности)  (далее  -  объект</w:t>
      </w:r>
    </w:p>
    <w:p>
      <w:pPr>
        <w:pStyle w:val="1"/>
        <w:jc w:val="both"/>
      </w:pPr>
      <w:r>
        <w:rPr>
          <w:sz w:val="20"/>
        </w:rPr>
        <w:t xml:space="preserve">капитального  строительства) или стоимости приобретения объекта недвижимого</w:t>
      </w:r>
    </w:p>
    <w:p>
      <w:pPr>
        <w:pStyle w:val="1"/>
        <w:jc w:val="both"/>
      </w:pPr>
      <w:r>
        <w:rPr>
          <w:sz w:val="20"/>
        </w:rPr>
        <w:t xml:space="preserve">имущества  в  государственную  собственность  субъекта Российской Федерации</w:t>
      </w:r>
    </w:p>
    <w:p>
      <w:pPr>
        <w:pStyle w:val="1"/>
        <w:jc w:val="both"/>
      </w:pPr>
      <w:r>
        <w:rPr>
          <w:sz w:val="20"/>
        </w:rPr>
        <w:t xml:space="preserve">(муниципальную   собственность)  (далее  -  объект  недвижимого  имущества)</w:t>
      </w:r>
    </w:p>
    <w:p>
      <w:pPr>
        <w:pStyle w:val="1"/>
        <w:jc w:val="both"/>
      </w:pPr>
      <w:r>
        <w:rPr>
          <w:sz w:val="20"/>
        </w:rPr>
        <w:t xml:space="preserve">указанного  в  приложении  N ___ к настоящему Соглашению, Иной межбюджетный</w:t>
      </w:r>
    </w:p>
    <w:p>
      <w:pPr>
        <w:pStyle w:val="1"/>
        <w:jc w:val="both"/>
      </w:pPr>
      <w:r>
        <w:rPr>
          <w:sz w:val="20"/>
        </w:rPr>
        <w:t xml:space="preserve">трансферт   предоставляется   в  размере,  определенном  исходя  из  уровня</w:t>
      </w:r>
    </w:p>
    <w:p>
      <w:pPr>
        <w:pStyle w:val="1"/>
        <w:jc w:val="both"/>
      </w:pPr>
      <w:r>
        <w:rPr>
          <w:sz w:val="20"/>
        </w:rPr>
        <w:t xml:space="preserve">софинансирования  от  уточненного  общего  объема  бюджетных  ассигнований,</w:t>
      </w:r>
    </w:p>
    <w:p>
      <w:pPr>
        <w:pStyle w:val="1"/>
        <w:jc w:val="both"/>
      </w:pPr>
      <w:r>
        <w:rPr>
          <w:sz w:val="20"/>
        </w:rPr>
        <w:t xml:space="preserve">предусмотренных в финансовом году ________________________________________.</w:t>
      </w:r>
    </w:p>
    <w:p>
      <w:pPr>
        <w:pStyle w:val="1"/>
        <w:jc w:val="both"/>
      </w:pPr>
      <w:r>
        <w:rPr>
          <w:sz w:val="20"/>
        </w:rPr>
        <w:t xml:space="preserve">                                   (бюджет субъекта Российской Федерации)</w:t>
      </w:r>
    </w:p>
    <w:p>
      <w:pPr>
        <w:pStyle w:val="0"/>
        <w:ind w:firstLine="540"/>
        <w:jc w:val="both"/>
      </w:pPr>
      <w:r>
        <w:rPr>
          <w:sz w:val="20"/>
        </w:rPr>
        <w:t xml:space="preserve">В случае увеличения в финансовом году общего объема бюджетных ассигнований, указанного в </w:t>
      </w:r>
      <w:hyperlink w:history="0" w:anchor="P139" w:tooltip="    2.1. Общий    объем   бюджетных   ассигнований,   предусматриваемых   в">
        <w:r>
          <w:rPr>
            <w:sz w:val="20"/>
            <w:color w:val="0000ff"/>
          </w:rPr>
          <w:t xml:space="preserve">пункте 2.1</w:t>
        </w:r>
      </w:hyperlink>
      <w:r>
        <w:rPr>
          <w:sz w:val="20"/>
        </w:rPr>
        <w:t xml:space="preserve"> настоящего Соглашения, в том числе в связи с увеличением сметной или предполагаемой (предельной) стоимости строительства (реконструкции,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указанного в приложении N ____ к настоящему Соглашению, являющемся его неотъемлемой частью, размер Иного межбюджетного трансферта, указанный в </w:t>
      </w:r>
      <w:hyperlink w:history="0" w:anchor="P150" w:tooltip="    2.2.      Общий      размер     Иного     межбюджетного     трансферта,">
        <w:r>
          <w:rPr>
            <w:sz w:val="20"/>
            <w:color w:val="0000ff"/>
          </w:rPr>
          <w:t xml:space="preserve">пункте 2.2</w:t>
        </w:r>
      </w:hyperlink>
      <w:r>
        <w:rPr>
          <w:sz w:val="20"/>
        </w:rPr>
        <w:t xml:space="preserve"> настоящего Соглашения на финансовый год, не подлежит изменению </w:t>
      </w:r>
      <w:hyperlink w:history="0" w:anchor="P509" w:tooltip="&lt;13&gt; Пункт 2.2.1 предусматривается в случае, если в соответствии с Правилами предоставления иных межбюджетных трансфертов устанавливается уровень софинансирования расходного обязательства субъекта Российской Федерации из федерального бюджета менее 100 процентов. Положения пункта 2.2.1, касающиеся строительства (реконструкции, в том числе с элементами реставрации, технического перевооружения) объекта капитального строительства, предусматриваются в соглашении в случае, если Правилами предоставления иных ме...">
        <w:r>
          <w:rPr>
            <w:sz w:val="20"/>
            <w:color w:val="0000ff"/>
          </w:rPr>
          <w:t xml:space="preserve">&lt;13&gt;</w:t>
        </w:r>
      </w:hyperlink>
      <w:r>
        <w:rPr>
          <w:sz w:val="20"/>
        </w:rPr>
        <w:t xml:space="preserve">.</w:t>
      </w:r>
    </w:p>
    <w:bookmarkStart w:id="194" w:name="P194"/>
    <w:bookmarkEnd w:id="194"/>
    <w:p>
      <w:pPr>
        <w:pStyle w:val="1"/>
        <w:spacing w:before="200" w:lineRule="auto"/>
        <w:jc w:val="both"/>
      </w:pPr>
      <w:r>
        <w:rPr>
          <w:sz w:val="20"/>
        </w:rPr>
        <w:t xml:space="preserve">    2.3.  Объем  средств,   планируемых  к  предоставлению  из федерального</w:t>
      </w:r>
    </w:p>
    <w:p>
      <w:pPr>
        <w:pStyle w:val="1"/>
        <w:jc w:val="both"/>
      </w:pPr>
      <w:r>
        <w:rPr>
          <w:sz w:val="20"/>
        </w:rPr>
        <w:t xml:space="preserve">бюджета в целях софинансирования расходных обязательств субъекта Российской</w:t>
      </w:r>
    </w:p>
    <w:p>
      <w:pPr>
        <w:pStyle w:val="1"/>
        <w:jc w:val="both"/>
      </w:pPr>
      <w:r>
        <w:rPr>
          <w:sz w:val="20"/>
        </w:rPr>
        <w:t xml:space="preserve">Федерации  за  пределами планового периода, в соответствии с постановлением</w:t>
      </w:r>
    </w:p>
    <w:p>
      <w:pPr>
        <w:pStyle w:val="1"/>
        <w:jc w:val="both"/>
      </w:pPr>
      <w:r>
        <w:rPr>
          <w:sz w:val="20"/>
        </w:rPr>
        <w:t xml:space="preserve">Правительства Российской Федерации _______________________________________,</w:t>
      </w:r>
    </w:p>
    <w:p>
      <w:pPr>
        <w:pStyle w:val="1"/>
        <w:jc w:val="both"/>
      </w:pPr>
      <w:r>
        <w:rPr>
          <w:sz w:val="20"/>
        </w:rPr>
        <w:t xml:space="preserve">                                     (указываются реквизиты постановления</w:t>
      </w:r>
    </w:p>
    <w:p>
      <w:pPr>
        <w:pStyle w:val="1"/>
        <w:jc w:val="both"/>
      </w:pPr>
      <w:r>
        <w:rPr>
          <w:sz w:val="20"/>
        </w:rPr>
        <w:t xml:space="preserve">                                      Правительства Российской Федерации)</w:t>
      </w:r>
    </w:p>
    <w:p>
      <w:pPr>
        <w:pStyle w:val="1"/>
        <w:jc w:val="both"/>
      </w:pPr>
      <w:r>
        <w:rPr>
          <w:sz w:val="20"/>
        </w:rPr>
        <w:t xml:space="preserve">и  объем средств, планируемых на исполнение расходных обязательств субъекта</w:t>
      </w:r>
    </w:p>
    <w:p>
      <w:pPr>
        <w:pStyle w:val="1"/>
        <w:jc w:val="both"/>
      </w:pPr>
      <w:r>
        <w:rPr>
          <w:sz w:val="20"/>
        </w:rPr>
        <w:t xml:space="preserve">Российской  Федерации  за  пределами  планового  периода  в  соответствии с</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реквизиты нормативного правового акта субъекта</w:t>
      </w:r>
    </w:p>
    <w:p>
      <w:pPr>
        <w:pStyle w:val="1"/>
        <w:jc w:val="both"/>
      </w:pPr>
      <w:r>
        <w:rPr>
          <w:sz w:val="20"/>
        </w:rPr>
        <w:t xml:space="preserve">                           Российской Федерации)</w:t>
      </w:r>
    </w:p>
    <w:p>
      <w:pPr>
        <w:pStyle w:val="1"/>
        <w:jc w:val="both"/>
      </w:pPr>
      <w:r>
        <w:rPr>
          <w:sz w:val="20"/>
        </w:rPr>
        <w:t xml:space="preserve">указаны   в   </w:t>
      </w:r>
      <w:hyperlink w:history="0" w:anchor="P589" w:tooltip="                                Информация">
        <w:r>
          <w:rPr>
            <w:sz w:val="20"/>
            <w:color w:val="0000ff"/>
          </w:rPr>
          <w:t xml:space="preserve">приложении   N  1</w:t>
        </w:r>
      </w:hyperlink>
      <w:r>
        <w:rPr>
          <w:sz w:val="20"/>
        </w:rPr>
        <w:t xml:space="preserve">  к  настоящему  Соглашению,  являющемся его</w:t>
      </w:r>
    </w:p>
    <w:p>
      <w:pPr>
        <w:pStyle w:val="1"/>
        <w:jc w:val="both"/>
      </w:pPr>
      <w:r>
        <w:rPr>
          <w:sz w:val="20"/>
        </w:rPr>
        <w:t xml:space="preserve">неотъемлемой частью </w:t>
      </w:r>
      <w:hyperlink w:history="0" w:anchor="P510" w:tooltip="&lt;14&gt; Пункт 2.3 предусматривается в случае предоставления Иного межбюджетного трансферта в целях софинансирования расходного обязательства субъекта Российской Федерации, срок исполнения которого превышает срок действия доведенных лимитов бюджетных обязательств на его исполнение.">
        <w:r>
          <w:rPr>
            <w:sz w:val="20"/>
            <w:color w:val="0000ff"/>
          </w:rPr>
          <w:t xml:space="preserve">&lt;14&gt;</w:t>
        </w:r>
      </w:hyperlink>
      <w:r>
        <w:rPr>
          <w:sz w:val="20"/>
        </w:rPr>
        <w:t xml:space="preserve">.</w:t>
      </w:r>
    </w:p>
    <w:p>
      <w:pPr>
        <w:pStyle w:val="0"/>
        <w:jc w:val="both"/>
      </w:pPr>
      <w:r>
        <w:rPr>
          <w:sz w:val="20"/>
        </w:rPr>
      </w:r>
    </w:p>
    <w:p>
      <w:pPr>
        <w:pStyle w:val="0"/>
        <w:outlineLvl w:val="1"/>
        <w:jc w:val="center"/>
      </w:pPr>
      <w:r>
        <w:rPr>
          <w:sz w:val="20"/>
        </w:rPr>
        <w:t xml:space="preserve">III. Порядок, условия предоставления и сроки перечисления</w:t>
      </w:r>
    </w:p>
    <w:p>
      <w:pPr>
        <w:pStyle w:val="0"/>
        <w:jc w:val="center"/>
      </w:pPr>
      <w:r>
        <w:rPr>
          <w:sz w:val="20"/>
        </w:rPr>
        <w:t xml:space="preserve">Иного межбюджетного трансферта</w:t>
      </w:r>
    </w:p>
    <w:p>
      <w:pPr>
        <w:pStyle w:val="0"/>
        <w:jc w:val="both"/>
      </w:pPr>
      <w:r>
        <w:rPr>
          <w:sz w:val="20"/>
        </w:rPr>
      </w:r>
    </w:p>
    <w:p>
      <w:pPr>
        <w:pStyle w:val="1"/>
        <w:jc w:val="both"/>
      </w:pPr>
      <w:r>
        <w:rPr>
          <w:sz w:val="20"/>
        </w:rPr>
        <w:t xml:space="preserve">    3.1.  Иной  межбюджетный трансферт предоставляется в пределах бюджетных</w:t>
      </w:r>
    </w:p>
    <w:p>
      <w:pPr>
        <w:pStyle w:val="1"/>
        <w:jc w:val="both"/>
      </w:pPr>
      <w:r>
        <w:rPr>
          <w:sz w:val="20"/>
        </w:rPr>
        <w:t xml:space="preserve">ассигнований,  предусмотренных  в  федеральном законе о федеральном бюджете</w:t>
      </w:r>
    </w:p>
    <w:p>
      <w:pPr>
        <w:pStyle w:val="1"/>
        <w:jc w:val="both"/>
      </w:pPr>
      <w:r>
        <w:rPr>
          <w:sz w:val="20"/>
        </w:rPr>
        <w:t xml:space="preserve">(сводной  бюджетной росписи федерального бюджета) на ____ финансовый год/на</w:t>
      </w:r>
    </w:p>
    <w:p>
      <w:pPr>
        <w:pStyle w:val="1"/>
        <w:jc w:val="both"/>
      </w:pPr>
      <w:r>
        <w:rPr>
          <w:sz w:val="20"/>
        </w:rPr>
        <w:t xml:space="preserve">____  финансовый  год  и  на  плановый  период 20__ - 20__ годов, и лимитов</w:t>
      </w:r>
    </w:p>
    <w:p>
      <w:pPr>
        <w:pStyle w:val="1"/>
        <w:jc w:val="both"/>
      </w:pPr>
      <w:r>
        <w:rPr>
          <w:sz w:val="20"/>
        </w:rPr>
        <w:t xml:space="preserve">бюджетных обязательств, доведенных ________________________________________</w:t>
      </w:r>
    </w:p>
    <w:p>
      <w:pPr>
        <w:pStyle w:val="1"/>
        <w:jc w:val="both"/>
      </w:pPr>
      <w:r>
        <w:rPr>
          <w:sz w:val="20"/>
        </w:rPr>
        <w:t xml:space="preserve">                                      (Министерству, Агентству, Службе)</w:t>
      </w:r>
    </w:p>
    <w:p>
      <w:pPr>
        <w:pStyle w:val="1"/>
        <w:jc w:val="both"/>
      </w:pPr>
      <w:r>
        <w:rPr>
          <w:sz w:val="20"/>
        </w:rPr>
        <w:t xml:space="preserve">как получателю средств федерального бюджета на финансовый год.</w:t>
      </w:r>
    </w:p>
    <w:bookmarkStart w:id="218" w:name="P218"/>
    <w:bookmarkEnd w:id="218"/>
    <w:p>
      <w:pPr>
        <w:pStyle w:val="0"/>
        <w:ind w:firstLine="540"/>
        <w:jc w:val="both"/>
      </w:pPr>
      <w:r>
        <w:rPr>
          <w:sz w:val="20"/>
        </w:rPr>
        <w:t xml:space="preserve">3.2. Иной межбюджетный трансферт предоставляется при выполнении следующих условий </w:t>
      </w:r>
      <w:hyperlink w:history="0" w:anchor="P511" w:tooltip="&lt;15&gt; Подпункты &quot;а&quot; и &quot;б&quot; пункта 3.2 предусматриваются в случаях, если Правилами предоставления иных межбюджетных трансфертов предусмотрены данные условия.">
        <w:r>
          <w:rPr>
            <w:sz w:val="20"/>
            <w:color w:val="0000ff"/>
          </w:rPr>
          <w:t xml:space="preserve">&lt;15&gt;</w:t>
        </w:r>
      </w:hyperlink>
      <w:r>
        <w:rPr>
          <w:sz w:val="20"/>
        </w:rPr>
        <w:t xml:space="preserve">:</w:t>
      </w:r>
    </w:p>
    <w:bookmarkStart w:id="219" w:name="P219"/>
    <w:bookmarkEnd w:id="219"/>
    <w:p>
      <w:pPr>
        <w:pStyle w:val="1"/>
        <w:spacing w:before="200" w:lineRule="auto"/>
        <w:jc w:val="both"/>
      </w:pPr>
      <w:r>
        <w:rPr>
          <w:sz w:val="20"/>
        </w:rPr>
        <w:t xml:space="preserve">    а) наличие правового акта 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об  утверждении  в  соответствии  с требованиями нормативных правовых актов</w:t>
      </w:r>
    </w:p>
    <w:p>
      <w:pPr>
        <w:pStyle w:val="1"/>
        <w:jc w:val="both"/>
      </w:pPr>
      <w:r>
        <w:rPr>
          <w:sz w:val="20"/>
        </w:rPr>
        <w:t xml:space="preserve">Российской  Федерации перечня мероприятий, при реализации которых возникают</w:t>
      </w:r>
    </w:p>
    <w:p>
      <w:pPr>
        <w:pStyle w:val="1"/>
        <w:jc w:val="both"/>
      </w:pPr>
      <w:r>
        <w:rPr>
          <w:sz w:val="20"/>
        </w:rPr>
        <w:t xml:space="preserve">расходные   обязательства    субъекта   Российской   Федерации,   в   целях</w:t>
      </w:r>
    </w:p>
    <w:p>
      <w:pPr>
        <w:pStyle w:val="1"/>
        <w:jc w:val="both"/>
      </w:pPr>
      <w:r>
        <w:rPr>
          <w:sz w:val="20"/>
        </w:rPr>
        <w:t xml:space="preserve">софинансирования которых предоставляется Иной межбюджетный трансферт;</w:t>
      </w:r>
    </w:p>
    <w:bookmarkStart w:id="225" w:name="P225"/>
    <w:bookmarkEnd w:id="225"/>
    <w:p>
      <w:pPr>
        <w:pStyle w:val="1"/>
        <w:jc w:val="both"/>
      </w:pPr>
      <w:r>
        <w:rPr>
          <w:sz w:val="20"/>
        </w:rPr>
        <w:t xml:space="preserve">    б) наличие в __________________________________________________________</w:t>
      </w:r>
    </w:p>
    <w:p>
      <w:pPr>
        <w:pStyle w:val="1"/>
        <w:jc w:val="both"/>
      </w:pPr>
      <w:r>
        <w:rPr>
          <w:sz w:val="20"/>
        </w:rPr>
        <w:t xml:space="preserve">                          (бюджет субъекта Российской Федерации)</w:t>
      </w:r>
    </w:p>
    <w:p>
      <w:pPr>
        <w:pStyle w:val="1"/>
        <w:jc w:val="both"/>
      </w:pPr>
      <w:r>
        <w:rPr>
          <w:sz w:val="20"/>
        </w:rPr>
        <w:t xml:space="preserve">бюджетных  ассигнований на финансовое обеспечение расходных обязательств, в</w:t>
      </w:r>
    </w:p>
    <w:p>
      <w:pPr>
        <w:pStyle w:val="1"/>
        <w:jc w:val="both"/>
      </w:pPr>
      <w:r>
        <w:rPr>
          <w:sz w:val="20"/>
        </w:rPr>
        <w:t xml:space="preserve">целях софинансирования которых предоставляется Иной межбюджетный трансферт,</w:t>
      </w:r>
    </w:p>
    <w:p>
      <w:pPr>
        <w:pStyle w:val="1"/>
        <w:jc w:val="both"/>
      </w:pPr>
      <w:r>
        <w:rPr>
          <w:sz w:val="20"/>
        </w:rPr>
        <w:t xml:space="preserve">в объеме, предусмотренном </w:t>
      </w:r>
      <w:hyperlink w:history="0" w:anchor="P139" w:tooltip="    2.1. Общий    объем   бюджетных   ассигнований,   предусматриваемых   в">
        <w:r>
          <w:rPr>
            <w:sz w:val="20"/>
            <w:color w:val="0000ff"/>
          </w:rPr>
          <w:t xml:space="preserve">пунктом 2.1</w:t>
        </w:r>
      </w:hyperlink>
      <w:r>
        <w:rPr>
          <w:sz w:val="20"/>
        </w:rPr>
        <w:t xml:space="preserve"> настоящего Соглашения </w:t>
      </w:r>
      <w:hyperlink w:history="0" w:anchor="P512" w:tooltip="&lt;16&gt; Подпункт &quot;б&quot; пункта 3.2 предусматривается в случае, если соглашение не содержит условие, предусмотренное подпунктом &quot;в&quot; пункта 3.2 настоящей Типовой формы соглашения.">
        <w:r>
          <w:rPr>
            <w:sz w:val="20"/>
            <w:color w:val="0000ff"/>
          </w:rPr>
          <w:t xml:space="preserve">&lt;16&gt;</w:t>
        </w:r>
      </w:hyperlink>
      <w:r>
        <w:rPr>
          <w:sz w:val="20"/>
        </w:rPr>
        <w:t xml:space="preserve">;</w:t>
      </w:r>
    </w:p>
    <w:bookmarkStart w:id="230" w:name="P230"/>
    <w:bookmarkEnd w:id="230"/>
    <w:p>
      <w:pPr>
        <w:pStyle w:val="1"/>
        <w:jc w:val="both"/>
      </w:pPr>
      <w:r>
        <w:rPr>
          <w:sz w:val="20"/>
        </w:rPr>
        <w:t xml:space="preserve">    в) наличие   документов,   подтверждающих   фактически   осуществленные</w:t>
      </w:r>
    </w:p>
    <w:p>
      <w:pPr>
        <w:pStyle w:val="1"/>
        <w:jc w:val="both"/>
      </w:pPr>
      <w:r>
        <w:rPr>
          <w:sz w:val="20"/>
        </w:rPr>
        <w:t xml:space="preserve">расходы _____________________________________________________________ </w:t>
      </w:r>
      <w:hyperlink w:history="0" w:anchor="P513" w:tooltip="&lt;17&gt; Подпункт &quot;в&quot; пункта 3.2 предусматривается в случае, если Иной межбюджетный трансферт предоставляется на возмещение фактически осуществленных расходов бюджетов субъектов Российской Федерации и при наличии в Правилах предоставления иных межбюджетных трансфертов такого условия.">
        <w:r>
          <w:rPr>
            <w:sz w:val="20"/>
            <w:color w:val="0000ff"/>
          </w:rPr>
          <w:t xml:space="preserve">&lt;17&gt;</w:t>
        </w:r>
      </w:hyperlink>
      <w:r>
        <w:rPr>
          <w:sz w:val="20"/>
        </w:rPr>
        <w:t xml:space="preserve">;</w:t>
      </w:r>
    </w:p>
    <w:p>
      <w:pPr>
        <w:pStyle w:val="1"/>
        <w:jc w:val="both"/>
      </w:pPr>
      <w:r>
        <w:rPr>
          <w:sz w:val="20"/>
        </w:rPr>
        <w:t xml:space="preserve">                   (бюджет субъекта Российской Федерации)</w:t>
      </w:r>
    </w:p>
    <w:bookmarkStart w:id="233" w:name="P233"/>
    <w:bookmarkEnd w:id="233"/>
    <w:p>
      <w:pPr>
        <w:pStyle w:val="0"/>
        <w:ind w:firstLine="540"/>
        <w:jc w:val="both"/>
      </w:pPr>
      <w:r>
        <w:rPr>
          <w:sz w:val="20"/>
        </w:rPr>
        <w:t xml:space="preserve">г) ограничение размеров авансовых платежей в заключаемых от имени субъекта Российской Федерации государственных контрактах о строительстве (реконструкции, в том числе с элементами реставрации, техническом перевооружении) объекта капитального строительства, в размере, не превышающем 30 процентов суммы такого государственного контракта </w:t>
      </w:r>
      <w:hyperlink w:history="0" w:anchor="P514" w:tooltip="&lt;18&gt; Подпункт &quot;г&quot; пункта 3.2 предусматривается в соглашении в отношении Иного межбюджетного трансферта, правилами предоставления которого предусматривается софинансирование строительства объектов капитального строительства.">
        <w:r>
          <w:rPr>
            <w:sz w:val="20"/>
            <w:color w:val="0000ff"/>
          </w:rPr>
          <w:t xml:space="preserve">&lt;18&gt;</w:t>
        </w:r>
      </w:hyperlink>
      <w:r>
        <w:rPr>
          <w:sz w:val="20"/>
        </w:rPr>
        <w:t xml:space="preserve">, если иное не предусмотрено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иных межбюджетных трансфертов), но не более лимитов бюджетных обязательств на соответствующий финансовый год, доведенных до получателя средств бюджета субъекта Российской Федерации;</w:t>
      </w:r>
    </w:p>
    <w:p>
      <w:pPr>
        <w:pStyle w:val="0"/>
        <w:spacing w:before="200" w:lineRule="auto"/>
        <w:ind w:firstLine="540"/>
        <w:jc w:val="both"/>
      </w:pPr>
      <w:r>
        <w:rPr>
          <w:sz w:val="20"/>
        </w:rPr>
        <w:t xml:space="preserve">д) _______________________________________________ </w:t>
      </w:r>
      <w:hyperlink w:history="0" w:anchor="P515" w:tooltip="&lt;19&gt; В соглашении могут быть указаны иные условия предоставления Иного межбюджетного трансферта в случае, если это предусмотрено Правилами предоставления иных межбюджетных трансфертов.">
        <w:r>
          <w:rPr>
            <w:sz w:val="20"/>
            <w:color w:val="0000ff"/>
          </w:rPr>
          <w:t xml:space="preserve">&lt;19&gt;</w:t>
        </w:r>
      </w:hyperlink>
      <w:r>
        <w:rPr>
          <w:sz w:val="20"/>
        </w:rPr>
        <w:t xml:space="preserve">.</w:t>
      </w:r>
    </w:p>
    <w:bookmarkStart w:id="235" w:name="P235"/>
    <w:bookmarkEnd w:id="235"/>
    <w:p>
      <w:pPr>
        <w:pStyle w:val="0"/>
        <w:spacing w:before="200" w:lineRule="auto"/>
        <w:ind w:firstLine="540"/>
        <w:jc w:val="both"/>
      </w:pPr>
      <w:r>
        <w:rPr>
          <w:sz w:val="20"/>
        </w:rPr>
        <w:t xml:space="preserve">3.2.1. Документы, подтверждающие выполнение условий предоставления Иного межбюджетного трансферта, предусмотренных </w:t>
      </w:r>
      <w:hyperlink w:history="0" w:anchor="P219" w:tooltip="    а) наличие правового акта _____________________________________________">
        <w:r>
          <w:rPr>
            <w:sz w:val="20"/>
            <w:color w:val="0000ff"/>
          </w:rPr>
          <w:t xml:space="preserve">подпунктами "а"</w:t>
        </w:r>
      </w:hyperlink>
      <w:r>
        <w:rPr>
          <w:sz w:val="20"/>
        </w:rPr>
        <w:t xml:space="preserve"> или </w:t>
      </w:r>
      <w:hyperlink w:history="0" w:anchor="P225" w:tooltip="    б) наличие в __________________________________________________________">
        <w:r>
          <w:rPr>
            <w:sz w:val="20"/>
            <w:color w:val="0000ff"/>
          </w:rPr>
          <w:t xml:space="preserve">"б" пункта 3.2</w:t>
        </w:r>
      </w:hyperlink>
      <w:r>
        <w:rPr>
          <w:sz w:val="20"/>
        </w:rPr>
        <w:t xml:space="preserve"> настоящего Соглашения, представляются однократно Субъектом в территориальный орган Федерального казначейства </w:t>
      </w:r>
      <w:hyperlink w:history="0" w:anchor="P516" w:tooltip="&lt;20&gt; Условие о представлении документов, предусмотренных пунктом 3.2.1, предусматривается при наличии в соглашении положений, предусмотренных подпунктами &quot;а&quot; или &quot;б&quot; пункта 3.2 настоящей Типовой формы соглашения.">
        <w:r>
          <w:rPr>
            <w:sz w:val="20"/>
            <w:color w:val="0000ff"/>
          </w:rPr>
          <w:t xml:space="preserve">&lt;20&gt;</w:t>
        </w:r>
      </w:hyperlink>
      <w:r>
        <w:rPr>
          <w:sz w:val="20"/>
        </w:rPr>
        <w:t xml:space="preserve">.</w:t>
      </w:r>
    </w:p>
    <w:bookmarkStart w:id="236" w:name="P236"/>
    <w:bookmarkEnd w:id="236"/>
    <w:p>
      <w:pPr>
        <w:pStyle w:val="1"/>
        <w:spacing w:before="200" w:lineRule="auto"/>
        <w:jc w:val="both"/>
      </w:pPr>
      <w:r>
        <w:rPr>
          <w:sz w:val="20"/>
        </w:rPr>
        <w:t xml:space="preserve">    3.3.  Перечисление  Иного  межбюджетного  трансферта   из  федерального</w:t>
      </w:r>
    </w:p>
    <w:p>
      <w:pPr>
        <w:pStyle w:val="1"/>
        <w:jc w:val="both"/>
      </w:pPr>
      <w:r>
        <w:rPr>
          <w:sz w:val="20"/>
        </w:rPr>
        <w:t xml:space="preserve">бюджета в _________________________________________________________________</w:t>
      </w:r>
    </w:p>
    <w:p>
      <w:pPr>
        <w:pStyle w:val="1"/>
        <w:jc w:val="both"/>
      </w:pPr>
      <w:r>
        <w:rPr>
          <w:sz w:val="20"/>
        </w:rPr>
        <w:t xml:space="preserve">                      (бюджет субъекта Российской Федерации)</w:t>
      </w:r>
    </w:p>
    <w:p>
      <w:pPr>
        <w:pStyle w:val="1"/>
        <w:jc w:val="both"/>
      </w:pPr>
      <w:r>
        <w:rPr>
          <w:sz w:val="20"/>
        </w:rPr>
        <w:t xml:space="preserve">осуществляется на:</w:t>
      </w:r>
    </w:p>
    <w:bookmarkStart w:id="240" w:name="P240"/>
    <w:bookmarkEnd w:id="240"/>
    <w:p>
      <w:pPr>
        <w:pStyle w:val="1"/>
        <w:jc w:val="both"/>
      </w:pPr>
      <w:r>
        <w:rPr>
          <w:sz w:val="20"/>
        </w:rPr>
        <w:t xml:space="preserve">    а) единый счет _______________________________________________________,</w:t>
      </w:r>
    </w:p>
    <w:p>
      <w:pPr>
        <w:pStyle w:val="1"/>
        <w:jc w:val="both"/>
      </w:pPr>
      <w:r>
        <w:rPr>
          <w:sz w:val="20"/>
        </w:rPr>
        <w:t xml:space="preserve">                           (бюджет субъекта Российской Федерации)</w:t>
      </w:r>
    </w:p>
    <w:p>
      <w:pPr>
        <w:pStyle w:val="1"/>
        <w:jc w:val="both"/>
      </w:pPr>
      <w:r>
        <w:rPr>
          <w:sz w:val="20"/>
        </w:rPr>
        <w:t xml:space="preserve">открытый __________________________________________________________________</w:t>
      </w:r>
    </w:p>
    <w:p>
      <w:pPr>
        <w:pStyle w:val="1"/>
        <w:jc w:val="both"/>
      </w:pPr>
      <w:r>
        <w:rPr>
          <w:sz w:val="20"/>
        </w:rPr>
        <w:t xml:space="preserve">           (наименование финансового органа субъекта Российской Федерации)</w:t>
      </w:r>
    </w:p>
    <w:p>
      <w:pPr>
        <w:pStyle w:val="1"/>
        <w:jc w:val="both"/>
      </w:pPr>
      <w:r>
        <w:rPr>
          <w:sz w:val="20"/>
        </w:rPr>
        <w:t xml:space="preserve">в ________________________________________________________________ </w:t>
      </w:r>
      <w:hyperlink w:history="0" w:anchor="P517" w:tooltip="&lt;21&gt; Подпункт &quot;а&quot; пункта 3.3 предусматривается в случае, если в соответствии с законодательством Российской Федерации полномочия по перечислению Иного межбюджетного трансферта переданы Федеральному казначейству.">
        <w:r>
          <w:rPr>
            <w:sz w:val="20"/>
            <w:color w:val="0000ff"/>
          </w:rPr>
          <w:t xml:space="preserve">&lt;21&gt;</w:t>
        </w:r>
      </w:hyperlink>
      <w:r>
        <w:rPr>
          <w:sz w:val="20"/>
        </w:rPr>
        <w:t xml:space="preserve">;</w:t>
      </w:r>
    </w:p>
    <w:p>
      <w:pPr>
        <w:pStyle w:val="1"/>
        <w:jc w:val="both"/>
      </w:pPr>
      <w:r>
        <w:rPr>
          <w:sz w:val="20"/>
        </w:rPr>
        <w:t xml:space="preserve">  (наименование территориального органа Федерального казначейства)</w:t>
      </w:r>
    </w:p>
    <w:p>
      <w:pPr>
        <w:pStyle w:val="1"/>
        <w:jc w:val="both"/>
      </w:pPr>
      <w:r>
        <w:rPr>
          <w:sz w:val="20"/>
        </w:rPr>
        <w:t xml:space="preserve">    б)   счет   для   осуществления   операций  по  учету  и  распределению</w:t>
      </w:r>
    </w:p>
    <w:p>
      <w:pPr>
        <w:pStyle w:val="1"/>
        <w:jc w:val="both"/>
      </w:pPr>
      <w:r>
        <w:rPr>
          <w:sz w:val="20"/>
        </w:rPr>
        <w:t xml:space="preserve">поступлений, открытый _____________________________________________ </w:t>
      </w:r>
      <w:hyperlink w:history="0" w:anchor="P518" w:tooltip="&lt;22&gt; Подпункт &quot;б&quot; пункта 3.3 предусматривается в случае, если в соответствии с законодательством Российской Федерации полномочия по перечислению Иного межбюджетного трансферта не переданы Федеральному казначейству.">
        <w:r>
          <w:rPr>
            <w:sz w:val="20"/>
            <w:color w:val="0000ff"/>
          </w:rPr>
          <w:t xml:space="preserve">&lt;22&gt;</w:t>
        </w:r>
      </w:hyperlink>
      <w:r>
        <w:rPr>
          <w:sz w:val="20"/>
        </w:rPr>
        <w:t xml:space="preserve">.</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1"/>
        <w:jc w:val="both"/>
      </w:pPr>
      <w:r>
        <w:rPr>
          <w:sz w:val="20"/>
        </w:rPr>
        <w:t xml:space="preserve">    3.3.1.  Перечисление  Иного  межбюджетного  трансферта  из федерального</w:t>
      </w:r>
    </w:p>
    <w:p>
      <w:pPr>
        <w:pStyle w:val="1"/>
        <w:jc w:val="both"/>
      </w:pPr>
      <w:r>
        <w:rPr>
          <w:sz w:val="20"/>
        </w:rPr>
        <w:t xml:space="preserve">бюджета  осуществляется  Федеральным казначейством не позднее 2-го рабочего</w:t>
      </w:r>
    </w:p>
    <w:p>
      <w:pPr>
        <w:pStyle w:val="1"/>
        <w:jc w:val="both"/>
      </w:pPr>
      <w:r>
        <w:rPr>
          <w:sz w:val="20"/>
        </w:rPr>
        <w:t xml:space="preserve">дня,         следующего        за        днем        представления        в</w:t>
      </w:r>
    </w:p>
    <w:p>
      <w:pPr>
        <w:pStyle w:val="1"/>
        <w:jc w:val="both"/>
      </w:pPr>
      <w:r>
        <w:rPr>
          <w:sz w:val="20"/>
        </w:rPr>
        <w:t xml:space="preserve">___________________________________________________________ в установленном</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1"/>
        <w:jc w:val="both"/>
      </w:pPr>
      <w:r>
        <w:rPr>
          <w:sz w:val="20"/>
        </w:rPr>
        <w:t xml:space="preserve">Федеральным казначейством порядке </w:t>
      </w:r>
      <w:hyperlink w:history="0" w:anchor="P519" w:tooltip="&lt;23&gt; Приказ Федерального казначейства от 14 мая 2020 г. N 21н &quot;О Порядке казначейского обслуживания&quot; (зарегистрирован Министерством юстиции Российской Федерации 13 июля 2020 г., регистрационный N 58914).">
        <w:r>
          <w:rPr>
            <w:sz w:val="20"/>
            <w:color w:val="0000ff"/>
          </w:rPr>
          <w:t xml:space="preserve">&lt;23&gt;</w:t>
        </w:r>
      </w:hyperlink>
      <w:r>
        <w:rPr>
          <w:sz w:val="20"/>
        </w:rPr>
        <w:t xml:space="preserve"> платежных документов:</w:t>
      </w:r>
    </w:p>
    <w:bookmarkStart w:id="257" w:name="P257"/>
    <w:bookmarkEnd w:id="257"/>
    <w:p>
      <w:pPr>
        <w:pStyle w:val="0"/>
        <w:ind w:firstLine="540"/>
        <w:jc w:val="both"/>
      </w:pPr>
      <w:r>
        <w:rPr>
          <w:sz w:val="20"/>
        </w:rPr>
        <w:t xml:space="preserve">3.3.1.1. связанных с исполнением расходных обязательств Субъекта, в целях софинансирования которых предоставляется Иной межбюджетный трансферт, представленных </w:t>
      </w:r>
      <w:hyperlink w:history="0" w:anchor="P520" w:tooltip="&lt;24&gt; Пункт 3.3.1.1 предусматривается в случае, если перечисление Иного межбюджетного трансферта осуществляется на счет, указанный в подпункте &quot;а&quot; пункта 3.3 настоящей Типовой формы соглашения.">
        <w:r>
          <w:rPr>
            <w:sz w:val="20"/>
            <w:color w:val="0000ff"/>
          </w:rPr>
          <w:t xml:space="preserve">&lt;24&gt;</w:t>
        </w:r>
      </w:hyperlink>
      <w:r>
        <w:rPr>
          <w:sz w:val="20"/>
        </w:rPr>
        <w:t xml:space="preserve">:</w:t>
      </w:r>
    </w:p>
    <w:bookmarkStart w:id="258" w:name="P258"/>
    <w:bookmarkEnd w:id="258"/>
    <w:p>
      <w:pPr>
        <w:pStyle w:val="1"/>
        <w:spacing w:before="200" w:lineRule="auto"/>
        <w:jc w:val="both"/>
      </w:pPr>
      <w:r>
        <w:rPr>
          <w:sz w:val="20"/>
        </w:rPr>
        <w:t xml:space="preserve">    а) получателем средств _________________________________________ </w:t>
      </w:r>
      <w:hyperlink w:history="0" w:anchor="P521" w:tooltip="&lt;25&gt; Подпункт &quot;а&quot; пункта 3.3.1.1 предусматривается в случае, если операции по расходам получателей средств бюджета субъекта Российской Федерации, в целях софинансирования которых предоставляется Иной межбюджетный трансферт, учитываются на лицевых счетах, открытых в территориальном органе Федерального казначейства.">
        <w:r>
          <w:rPr>
            <w:sz w:val="20"/>
            <w:color w:val="0000ff"/>
          </w:rPr>
          <w:t xml:space="preserve">&lt;25&gt;</w:t>
        </w:r>
      </w:hyperlink>
      <w:r>
        <w:rPr>
          <w:sz w:val="20"/>
        </w:rPr>
        <w:t xml:space="preserve">;</w:t>
      </w:r>
    </w:p>
    <w:p>
      <w:pPr>
        <w:pStyle w:val="1"/>
        <w:jc w:val="both"/>
      </w:pPr>
      <w:r>
        <w:rPr>
          <w:sz w:val="20"/>
        </w:rPr>
        <w:t xml:space="preserve">                            (бюджет субъекта Российской Федерации)</w:t>
      </w:r>
    </w:p>
    <w:bookmarkStart w:id="260" w:name="P260"/>
    <w:bookmarkEnd w:id="260"/>
    <w:p>
      <w:pPr>
        <w:pStyle w:val="0"/>
        <w:ind w:firstLine="540"/>
        <w:jc w:val="both"/>
      </w:pPr>
      <w:r>
        <w:rPr>
          <w:sz w:val="20"/>
        </w:rPr>
        <w:t xml:space="preserve">б) финансовым органом Субъекта </w:t>
      </w:r>
      <w:hyperlink w:history="0" w:anchor="P522" w:tooltip="&lt;26&gt; Подпункт &quot;б&quot; пункта 3.3.1.1 предусматривается в случае, если операции по расходам получателей средств бюджета субъекта Российской Федерации, в целях софинансирования которых предоставляется Иной межбюджетный трансферт, учитываются на лицевых счетах, открытых в финансовом органе субъекта Российской Федерации.">
        <w:r>
          <w:rPr>
            <w:sz w:val="20"/>
            <w:color w:val="0000ff"/>
          </w:rPr>
          <w:t xml:space="preserve">&lt;26&gt;</w:t>
        </w:r>
      </w:hyperlink>
      <w:r>
        <w:rPr>
          <w:sz w:val="20"/>
        </w:rPr>
        <w:t xml:space="preserve">;</w:t>
      </w:r>
    </w:p>
    <w:bookmarkStart w:id="261" w:name="P261"/>
    <w:bookmarkEnd w:id="261"/>
    <w:p>
      <w:pPr>
        <w:pStyle w:val="1"/>
        <w:spacing w:before="200" w:lineRule="auto"/>
        <w:jc w:val="both"/>
      </w:pPr>
      <w:r>
        <w:rPr>
          <w:sz w:val="20"/>
        </w:rPr>
        <w:t xml:space="preserve">    3.3.1.2.        на        перечисление        Иного       межбюджетного</w:t>
      </w:r>
    </w:p>
    <w:p>
      <w:pPr>
        <w:pStyle w:val="1"/>
        <w:jc w:val="both"/>
      </w:pPr>
      <w:r>
        <w:rPr>
          <w:sz w:val="20"/>
        </w:rPr>
        <w:t xml:space="preserve">трансферта ________________________________________________, представленных</w:t>
      </w:r>
    </w:p>
    <w:p>
      <w:pPr>
        <w:pStyle w:val="1"/>
        <w:jc w:val="both"/>
      </w:pPr>
      <w:r>
        <w:rPr>
          <w:sz w:val="20"/>
        </w:rPr>
        <w:t xml:space="preserve">               (бюджет субъекта Российской Федерации)</w:t>
      </w:r>
    </w:p>
    <w:p>
      <w:pPr>
        <w:pStyle w:val="1"/>
        <w:jc w:val="both"/>
      </w:pPr>
      <w:r>
        <w:rPr>
          <w:sz w:val="20"/>
        </w:rPr>
        <w:t xml:space="preserve">_______________________________________________ одновременно с документами,</w:t>
      </w:r>
    </w:p>
    <w:p>
      <w:pPr>
        <w:pStyle w:val="1"/>
        <w:jc w:val="both"/>
      </w:pPr>
      <w:r>
        <w:rPr>
          <w:sz w:val="20"/>
        </w:rPr>
        <w:t xml:space="preserve">     (Министерством, Агентством, Службой)</w:t>
      </w:r>
    </w:p>
    <w:p>
      <w:pPr>
        <w:pStyle w:val="1"/>
        <w:jc w:val="both"/>
      </w:pPr>
      <w:r>
        <w:rPr>
          <w:sz w:val="20"/>
        </w:rPr>
        <w:t xml:space="preserve">подтверждающими   исполнение  условия  предоставления  Иного  межбюджетного</w:t>
      </w:r>
    </w:p>
    <w:p>
      <w:pPr>
        <w:pStyle w:val="1"/>
        <w:jc w:val="both"/>
      </w:pPr>
      <w:r>
        <w:rPr>
          <w:sz w:val="20"/>
        </w:rPr>
        <w:t xml:space="preserve">трансферта,  указанного  в  </w:t>
      </w:r>
      <w:hyperlink w:history="0" w:anchor="P230" w:tooltip="    в) наличие   документов,   подтверждающих   фактически   осуществленные">
        <w:r>
          <w:rPr>
            <w:sz w:val="20"/>
            <w:color w:val="0000ff"/>
          </w:rPr>
          <w:t xml:space="preserve">подпункте  "в" пункта 3.2</w:t>
        </w:r>
      </w:hyperlink>
      <w:r>
        <w:rPr>
          <w:sz w:val="20"/>
        </w:rPr>
        <w:t xml:space="preserve"> настоящего Соглашения</w:t>
      </w:r>
    </w:p>
    <w:p>
      <w:pPr>
        <w:pStyle w:val="1"/>
        <w:jc w:val="both"/>
      </w:pPr>
      <w:hyperlink w:history="0" w:anchor="P523" w:tooltip="&lt;27&gt; Пункт 3.3.1.2 предусматривается в случае, если перечисление Иного межбюджетного трансферта осуществляется на счет, указанный в подпункте &quot;б&quot; пункта 3.3 настоящей Типовой формы соглашения, а также если полномочия по перечислению Иного межбюджетного трансферта не переданы Федеральному казначейству. Условие об одновременном представлении документов, подтверждающих исполнение условия предоставления Иного межбюджетного трансферта, указанного в подпункте &quot;в&quot; пункта 3.2 настоящей Типовой формы соглашения, ...">
        <w:r>
          <w:rPr>
            <w:sz w:val="20"/>
            <w:color w:val="0000ff"/>
          </w:rPr>
          <w:t xml:space="preserve">&lt;27&gt;</w:t>
        </w:r>
      </w:hyperlink>
      <w:r>
        <w:rPr>
          <w:sz w:val="20"/>
        </w:rPr>
        <w:t xml:space="preserve">.</w:t>
      </w:r>
    </w:p>
    <w:p>
      <w:pPr>
        <w:pStyle w:val="0"/>
        <w:ind w:firstLine="540"/>
        <w:jc w:val="both"/>
      </w:pPr>
      <w:r>
        <w:rPr>
          <w:sz w:val="20"/>
        </w:rPr>
        <w:t xml:space="preserve">3.3.2. Перечисление Иного межбюджетного трансферта осуществляется Федеральным казначейством:</w:t>
      </w:r>
    </w:p>
    <w:bookmarkStart w:id="270" w:name="P270"/>
    <w:bookmarkEnd w:id="270"/>
    <w:p>
      <w:pPr>
        <w:pStyle w:val="1"/>
        <w:spacing w:before="200" w:lineRule="auto"/>
        <w:jc w:val="both"/>
      </w:pPr>
      <w:r>
        <w:rPr>
          <w:sz w:val="20"/>
        </w:rPr>
        <w:t xml:space="preserve">    3.3.2.1. после проверки _______________________________________________</w:t>
      </w:r>
    </w:p>
    <w:p>
      <w:pPr>
        <w:pStyle w:val="1"/>
        <w:jc w:val="both"/>
      </w:pPr>
      <w:r>
        <w:rPr>
          <w:sz w:val="20"/>
        </w:rPr>
        <w:t xml:space="preserve">                                 (Министерством, Агентством, Службой)</w:t>
      </w:r>
    </w:p>
    <w:p>
      <w:pPr>
        <w:pStyle w:val="1"/>
        <w:jc w:val="both"/>
      </w:pPr>
      <w:r>
        <w:rPr>
          <w:sz w:val="20"/>
        </w:rPr>
        <w:t xml:space="preserve">документов,   подтверждающих   осуществление   расходов   бюджета  субъекта</w:t>
      </w:r>
    </w:p>
    <w:p>
      <w:pPr>
        <w:pStyle w:val="1"/>
        <w:jc w:val="both"/>
      </w:pPr>
      <w:r>
        <w:rPr>
          <w:sz w:val="20"/>
        </w:rPr>
        <w:t xml:space="preserve">Российской Федерации </w:t>
      </w:r>
      <w:hyperlink w:history="0" w:anchor="P524" w:tooltip="&lt;28&gt; Пункт 3.3.2.1 предусматривается в случае наличия в соглашении условий, предусмотренных пунктом 3.3.1.2 настоящей Типовой формы соглашения, если Правилами предоставления иных межбюджетных трансфертов предусмотрено перечисление Иного межбюджетного трансферта после проверки документов, подтверждающих осуществление расходов бюджета субъекта Российской Федерации.">
        <w:r>
          <w:rPr>
            <w:sz w:val="20"/>
            <w:color w:val="0000ff"/>
          </w:rPr>
          <w:t xml:space="preserve">&lt;28&gt;</w:t>
        </w:r>
      </w:hyperlink>
      <w:r>
        <w:rPr>
          <w:sz w:val="20"/>
        </w:rPr>
        <w:t xml:space="preserve">;</w:t>
      </w:r>
    </w:p>
    <w:bookmarkStart w:id="274" w:name="P274"/>
    <w:bookmarkEnd w:id="274"/>
    <w:p>
      <w:pPr>
        <w:pStyle w:val="0"/>
        <w:ind w:firstLine="540"/>
        <w:jc w:val="both"/>
      </w:pPr>
      <w:r>
        <w:rPr>
          <w:sz w:val="20"/>
        </w:rPr>
        <w:t xml:space="preserve">3.3.2.2. в доле, соответствующей уровню софинансирования расходного обязательства субъекта Российской Федерации, указанному в </w:t>
      </w:r>
      <w:hyperlink w:history="0" w:anchor="P525" w:tooltip="&lt;29&gt; Пункт 3.3.2.2 предусматривается в случае наличия в соглашении условия, предусмотренного подпунктами &quot;б&quot; или &quot;в&quot; пункта 2.2 настоящей Типовой формы соглашения.">
        <w:r>
          <w:rPr>
            <w:sz w:val="20"/>
            <w:color w:val="0000ff"/>
          </w:rPr>
          <w:t xml:space="preserve">&lt;29&gt;</w:t>
        </w:r>
      </w:hyperlink>
      <w:r>
        <w:rPr>
          <w:sz w:val="20"/>
        </w:rPr>
        <w:t xml:space="preserve">:</w:t>
      </w:r>
    </w:p>
    <w:bookmarkStart w:id="275" w:name="P275"/>
    <w:bookmarkEnd w:id="275"/>
    <w:p>
      <w:pPr>
        <w:pStyle w:val="0"/>
        <w:spacing w:before="200" w:lineRule="auto"/>
        <w:ind w:firstLine="540"/>
        <w:jc w:val="both"/>
      </w:pPr>
      <w:r>
        <w:rPr>
          <w:sz w:val="20"/>
        </w:rPr>
        <w:t xml:space="preserve">а) </w:t>
      </w:r>
      <w:hyperlink w:history="0" w:anchor="P162" w:tooltip="б) исходя из выраженного в процентах от общего объема расходного обязательства субъекта Российской Федерации в целях софинансирования которого(ых) предоставляется Иной межбюджетный трансферт, уровня софинансирования, равного:">
        <w:r>
          <w:rPr>
            <w:sz w:val="20"/>
            <w:color w:val="0000ff"/>
          </w:rPr>
          <w:t xml:space="preserve">подпункте "б" пункта 2.2</w:t>
        </w:r>
      </w:hyperlink>
      <w:r>
        <w:rPr>
          <w:sz w:val="20"/>
        </w:rPr>
        <w:t xml:space="preserve"> настоящего Соглашения </w:t>
      </w:r>
      <w:hyperlink w:history="0" w:anchor="P526" w:tooltip="&lt;30&gt; Подпункт &quot;а&quot; пункта 3.3.2.2 предусматривается в случае, если соглашение содержит условие, предусмотренное подпунктом &quot;б&quot; пункта 2.2 настоящей Типовой формы соглашения.">
        <w:r>
          <w:rPr>
            <w:sz w:val="20"/>
            <w:color w:val="0000ff"/>
          </w:rPr>
          <w:t xml:space="preserve">&lt;30&gt;</w:t>
        </w:r>
      </w:hyperlink>
      <w:r>
        <w:rPr>
          <w:sz w:val="20"/>
        </w:rPr>
        <w:t xml:space="preserve">;</w:t>
      </w:r>
    </w:p>
    <w:bookmarkStart w:id="276" w:name="P276"/>
    <w:bookmarkEnd w:id="276"/>
    <w:p>
      <w:pPr>
        <w:pStyle w:val="0"/>
        <w:spacing w:before="200" w:lineRule="auto"/>
        <w:ind w:firstLine="540"/>
        <w:jc w:val="both"/>
      </w:pPr>
      <w:r>
        <w:rPr>
          <w:sz w:val="20"/>
        </w:rPr>
        <w:t xml:space="preserve">б) приложении N ____ к настоящему Соглашению, являющемся его неотъемлемой частью </w:t>
      </w:r>
      <w:hyperlink w:history="0" w:anchor="P527" w:tooltip="&lt;31&gt; Подпункт &quot;б&quot; пункта 3.3.2.2 предусматривается в случае, если соглашение содержит условие, предусмотренное подпунктом &quot;в&quot; пункта 2.2 настоящей Типовой формы соглашения.">
        <w:r>
          <w:rPr>
            <w:sz w:val="20"/>
            <w:color w:val="0000ff"/>
          </w:rPr>
          <w:t xml:space="preserve">&lt;31&gt;</w:t>
        </w:r>
      </w:hyperlink>
      <w:r>
        <w:rPr>
          <w:sz w:val="20"/>
        </w:rPr>
        <w:t xml:space="preserve">.</w:t>
      </w:r>
    </w:p>
    <w:bookmarkStart w:id="277" w:name="P277"/>
    <w:bookmarkEnd w:id="277"/>
    <w:p>
      <w:pPr>
        <w:pStyle w:val="0"/>
        <w:spacing w:before="200" w:lineRule="auto"/>
        <w:ind w:firstLine="540"/>
        <w:jc w:val="both"/>
      </w:pPr>
      <w:r>
        <w:rPr>
          <w:sz w:val="20"/>
        </w:rPr>
        <w:t xml:space="preserve">3.3.3. Перечисление межбюджетного трансферта из бюджета субъекта Российской Федерации местному бюджету осуществляется при условии осуществления территориальным органом Федерального казначейства операций по перечислению соответствующего межбюджетного трансферта из бюджета субъекта Российской Федерации в местный бюджет в пределах суммы, необходимой для оплаты денежных обязательств получателя средств местного бюджета, соответствующих целям предоставления Иного межбюджетного трансферта, в доле, соответствующей уровню софинансирования расходного обязательства муниципального образования, установленному соглашением о предоставлении межбюджетного трансферта из бюджета субъекта Российской Федерации местному бюджету, при оплате денежных обязательств получателя средств местного бюджета, соответствующих целям предоставления Иного межбюджетного трансферта </w:t>
      </w:r>
      <w:hyperlink w:history="0" w:anchor="P528" w:tooltip="&lt;32&gt; Пункт 3.3.3 предусматривается в случае предоставления Иного межбюджетного трансферта в целях софинансирования расходных обязательств субъекта Российской Федерации по оказанию финансовой поддержки осуществления органами местного самоуправления полномочий по вопросам местного значения.">
        <w:r>
          <w:rPr>
            <w:sz w:val="20"/>
            <w:color w:val="0000ff"/>
          </w:rPr>
          <w:t xml:space="preserve">&lt;32&gt;</w:t>
        </w:r>
      </w:hyperlink>
      <w:r>
        <w:rPr>
          <w:sz w:val="20"/>
        </w:rPr>
        <w:t xml:space="preserve">.</w:t>
      </w:r>
    </w:p>
    <w:bookmarkStart w:id="278" w:name="P278"/>
    <w:bookmarkEnd w:id="278"/>
    <w:p>
      <w:pPr>
        <w:pStyle w:val="1"/>
        <w:spacing w:before="200" w:lineRule="auto"/>
        <w:jc w:val="both"/>
      </w:pPr>
      <w:r>
        <w:rPr>
          <w:sz w:val="20"/>
        </w:rPr>
        <w:t xml:space="preserve">    3.3.4.  В  течение  ____  дней  после  подписания настоящего Соглашения</w:t>
      </w:r>
    </w:p>
    <w:p>
      <w:pPr>
        <w:pStyle w:val="1"/>
        <w:jc w:val="both"/>
      </w:pPr>
      <w:r>
        <w:rPr>
          <w:sz w:val="20"/>
        </w:rPr>
        <w:t xml:space="preserve">Субъект направляет в _____________________________________________ заявку о</w:t>
      </w:r>
    </w:p>
    <w:p>
      <w:pPr>
        <w:pStyle w:val="1"/>
        <w:jc w:val="both"/>
      </w:pPr>
      <w:r>
        <w:rPr>
          <w:sz w:val="20"/>
        </w:rPr>
        <w:t xml:space="preserve">                           (Министерство, Агентство, Службу)</w:t>
      </w:r>
    </w:p>
    <w:p>
      <w:pPr>
        <w:pStyle w:val="1"/>
        <w:jc w:val="both"/>
      </w:pPr>
      <w:r>
        <w:rPr>
          <w:sz w:val="20"/>
        </w:rPr>
        <w:t xml:space="preserve">перечислении  средств  Иного  межбюджетного  трансферта  в  соответствии  с</w:t>
      </w:r>
    </w:p>
    <w:p>
      <w:pPr>
        <w:pStyle w:val="1"/>
        <w:jc w:val="both"/>
      </w:pPr>
      <w:r>
        <w:rPr>
          <w:sz w:val="20"/>
        </w:rPr>
        <w:t xml:space="preserve">Правилами предоставления иных межбюджетных трансфертов </w:t>
      </w:r>
      <w:hyperlink w:history="0" w:anchor="P529" w:tooltip="&lt;33&gt; Пункт 3.3.4 предусматривается в случае, если в соответствии с бюджетным законодательством Российской Федерации и Правилами предоставления иных межбюджетных трансфертов перечисление Иного межбюджетного трансферта осуществляется в соответствии с заявкой, представленной уполномоченным органом субъекта Российской Федерации.">
        <w:r>
          <w:rPr>
            <w:sz w:val="20"/>
            <w:color w:val="0000ff"/>
          </w:rPr>
          <w:t xml:space="preserve">&lt;33&gt;</w:t>
        </w:r>
      </w:hyperlink>
      <w:r>
        <w:rPr>
          <w:sz w:val="20"/>
        </w:rPr>
        <w:t xml:space="preserve">.</w:t>
      </w:r>
    </w:p>
    <w:p>
      <w:pPr>
        <w:pStyle w:val="0"/>
        <w:jc w:val="both"/>
      </w:pPr>
      <w:r>
        <w:rPr>
          <w:sz w:val="20"/>
        </w:rPr>
      </w:r>
    </w:p>
    <w:p>
      <w:pPr>
        <w:pStyle w:val="0"/>
        <w:outlineLvl w:val="1"/>
        <w:jc w:val="center"/>
      </w:pPr>
      <w:r>
        <w:rPr>
          <w:sz w:val="20"/>
        </w:rPr>
        <w:t xml:space="preserve">IV. Взаимодействие Сторон</w:t>
      </w:r>
    </w:p>
    <w:p>
      <w:pPr>
        <w:pStyle w:val="0"/>
        <w:jc w:val="both"/>
      </w:pPr>
      <w:r>
        <w:rPr>
          <w:sz w:val="20"/>
        </w:rPr>
      </w:r>
    </w:p>
    <w:p>
      <w:pPr>
        <w:pStyle w:val="1"/>
        <w:jc w:val="both"/>
      </w:pPr>
      <w:r>
        <w:rPr>
          <w:sz w:val="20"/>
        </w:rPr>
        <w:t xml:space="preserve">    4.1. _________________________________________ обязуется:</w:t>
      </w:r>
    </w:p>
    <w:p>
      <w:pPr>
        <w:pStyle w:val="1"/>
        <w:jc w:val="both"/>
      </w:pPr>
      <w:r>
        <w:rPr>
          <w:sz w:val="20"/>
        </w:rPr>
        <w:t xml:space="preserve">             (Министерство, Агентство, Служба)</w:t>
      </w:r>
    </w:p>
    <w:p>
      <w:pPr>
        <w:pStyle w:val="1"/>
        <w:jc w:val="both"/>
      </w:pPr>
      <w:r>
        <w:rPr>
          <w:sz w:val="20"/>
        </w:rPr>
        <w:t xml:space="preserve">    4.1.1.   Обеспечить   предоставление   Иного  межбюджетного  трансферта</w:t>
      </w:r>
    </w:p>
    <w:p>
      <w:pPr>
        <w:pStyle w:val="1"/>
        <w:jc w:val="both"/>
      </w:pPr>
      <w:r>
        <w:rPr>
          <w:sz w:val="20"/>
        </w:rPr>
        <w:t xml:space="preserve">________________________________________________ в порядке и при соблюдении</w:t>
      </w:r>
    </w:p>
    <w:p>
      <w:pPr>
        <w:pStyle w:val="1"/>
        <w:jc w:val="both"/>
      </w:pPr>
      <w:r>
        <w:rPr>
          <w:sz w:val="20"/>
        </w:rPr>
        <w:t xml:space="preserve">     (бюджет субъекта Российской Федерации)</w:t>
      </w:r>
    </w:p>
    <w:p>
      <w:pPr>
        <w:pStyle w:val="1"/>
        <w:jc w:val="both"/>
      </w:pPr>
      <w:r>
        <w:rPr>
          <w:sz w:val="20"/>
        </w:rPr>
        <w:t xml:space="preserve">Субъектом    условий   предоставления   Иного   межбюджетного   трансферта,</w:t>
      </w:r>
    </w:p>
    <w:p>
      <w:pPr>
        <w:pStyle w:val="1"/>
        <w:jc w:val="both"/>
      </w:pPr>
      <w:r>
        <w:rPr>
          <w:sz w:val="20"/>
        </w:rPr>
        <w:t xml:space="preserve">установленных   настоящим   Соглашением,   в   пределах  лимитов  бюджетных</w:t>
      </w:r>
    </w:p>
    <w:p>
      <w:pPr>
        <w:pStyle w:val="1"/>
        <w:jc w:val="both"/>
      </w:pPr>
      <w:r>
        <w:rPr>
          <w:sz w:val="20"/>
        </w:rPr>
        <w:t xml:space="preserve">обязательств  на  ____  финансовый  год/на  ____  финансовый год и плановый</w:t>
      </w:r>
    </w:p>
    <w:p>
      <w:pPr>
        <w:pStyle w:val="1"/>
        <w:jc w:val="both"/>
      </w:pPr>
      <w:r>
        <w:rPr>
          <w:sz w:val="20"/>
        </w:rPr>
        <w:t xml:space="preserve">период              20__    -    20__       годов,               доведенных</w:t>
      </w:r>
    </w:p>
    <w:p>
      <w:pPr>
        <w:pStyle w:val="1"/>
        <w:jc w:val="both"/>
      </w:pPr>
      <w:r>
        <w:rPr>
          <w:sz w:val="20"/>
        </w:rPr>
        <w:t xml:space="preserve">____________________________________________________ как получателю средств</w:t>
      </w:r>
    </w:p>
    <w:p>
      <w:pPr>
        <w:pStyle w:val="1"/>
        <w:jc w:val="both"/>
      </w:pPr>
      <w:r>
        <w:rPr>
          <w:sz w:val="20"/>
        </w:rPr>
        <w:t xml:space="preserve">         (Министерству, Агентству, Службе)</w:t>
      </w:r>
    </w:p>
    <w:p>
      <w:pPr>
        <w:pStyle w:val="1"/>
        <w:jc w:val="both"/>
      </w:pPr>
      <w:r>
        <w:rPr>
          <w:sz w:val="20"/>
        </w:rPr>
        <w:t xml:space="preserve">федерального бюджета.</w:t>
      </w:r>
    </w:p>
    <w:p>
      <w:pPr>
        <w:pStyle w:val="0"/>
        <w:ind w:firstLine="540"/>
        <w:jc w:val="both"/>
      </w:pPr>
      <w:r>
        <w:rPr>
          <w:sz w:val="20"/>
        </w:rPr>
        <w:t xml:space="preserve">4.1.2. Осуществлять контроль за соблюдением Субъектом условий предоставления Иного межбюджетного трансферта и других обязательств, предусмотренных настоящим Соглашением.</w:t>
      </w:r>
    </w:p>
    <w:bookmarkStart w:id="299" w:name="P299"/>
    <w:bookmarkEnd w:id="299"/>
    <w:p>
      <w:pPr>
        <w:pStyle w:val="1"/>
        <w:spacing w:before="200" w:lineRule="auto"/>
        <w:jc w:val="both"/>
      </w:pPr>
      <w:r>
        <w:rPr>
          <w:sz w:val="20"/>
        </w:rPr>
        <w:t xml:space="preserve">    4.1.3.  Осуществлять  проверку документов, подтверждающих произведенные</w:t>
      </w:r>
    </w:p>
    <w:p>
      <w:pPr>
        <w:pStyle w:val="1"/>
        <w:jc w:val="both"/>
      </w:pPr>
      <w:r>
        <w:rPr>
          <w:sz w:val="20"/>
        </w:rPr>
        <w:t xml:space="preserve">расходы ____________________________________________________, на возмещение</w:t>
      </w:r>
    </w:p>
    <w:p>
      <w:pPr>
        <w:pStyle w:val="1"/>
        <w:jc w:val="both"/>
      </w:pPr>
      <w:r>
        <w:rPr>
          <w:sz w:val="20"/>
        </w:rPr>
        <w:t xml:space="preserve">                (бюджет субъекта Российской Федерации)</w:t>
      </w:r>
    </w:p>
    <w:p>
      <w:pPr>
        <w:pStyle w:val="1"/>
        <w:jc w:val="both"/>
      </w:pPr>
      <w:r>
        <w:rPr>
          <w:sz w:val="20"/>
        </w:rPr>
        <w:t xml:space="preserve">которых предоставляется Иной межбюджетный трансферт </w:t>
      </w:r>
      <w:hyperlink w:history="0" w:anchor="P530" w:tooltip="&lt;34&gt; Пункт 4.1.3 предусматривается в случае, если Иной межбюджетный трансферт предоставляется на возмещение фактически осуществленных расходов бюджета субъекта Российской Федерации, перечисление Иного межбюджетного трансферта осуществляется на счет, предусмотренный в подпункте &quot;б&quot; пункта 3.3 настоящей Типовой формы соглашения.">
        <w:r>
          <w:rPr>
            <w:sz w:val="20"/>
            <w:color w:val="0000ff"/>
          </w:rPr>
          <w:t xml:space="preserve">&lt;34&gt;</w:t>
        </w:r>
      </w:hyperlink>
      <w:r>
        <w:rPr>
          <w:sz w:val="20"/>
        </w:rPr>
        <w:t xml:space="preserve">.</w:t>
      </w:r>
    </w:p>
    <w:p>
      <w:pPr>
        <w:pStyle w:val="0"/>
        <w:ind w:firstLine="540"/>
        <w:jc w:val="both"/>
      </w:pPr>
      <w:r>
        <w:rPr>
          <w:sz w:val="20"/>
        </w:rPr>
        <w:t xml:space="preserve">4.1.3(1). Осуществлять проверку и принятие отчета, указанного в </w:t>
      </w:r>
      <w:hyperlink w:history="0" w:anchor="P382" w:tooltip="    4.3.9.2.   достижении   значений   результатов   предоставления   Иного">
        <w:r>
          <w:rPr>
            <w:sz w:val="20"/>
            <w:color w:val="0000ff"/>
          </w:rPr>
          <w:t xml:space="preserve">пункте 4.3.9.2</w:t>
        </w:r>
      </w:hyperlink>
      <w:r>
        <w:rPr>
          <w:sz w:val="20"/>
        </w:rPr>
        <w:t xml:space="preserve"> настоящего Соглашения, не позднее __ рабочего дня, следующего за днем его представления Субъектом, либо в случае несоответствия отчета требованиям, установленным приложением N ___ к настоящему Соглашению </w:t>
      </w:r>
      <w:hyperlink w:history="0" w:anchor="P531" w:tooltip="&lt;34(1)&gt; Приложение к соглашению, указанное в пункте 4.3.3 соглашения.">
        <w:r>
          <w:rPr>
            <w:sz w:val="20"/>
            <w:color w:val="0000ff"/>
          </w:rPr>
          <w:t xml:space="preserve">&lt;34(1)&gt;</w:t>
        </w:r>
      </w:hyperlink>
      <w:r>
        <w:rPr>
          <w:sz w:val="20"/>
        </w:rPr>
        <w:t xml:space="preserve">, возвращать его для уточнения </w:t>
      </w:r>
      <w:hyperlink w:history="0" w:anchor="P532" w:tooltip="&lt;34(2)&gt; В случае наличия в соглашении условия, предусмотренного пунктом 4.3.9.2 настоящей Типовой формы соглашения.">
        <w:r>
          <w:rPr>
            <w:sz w:val="20"/>
            <w:color w:val="0000ff"/>
          </w:rPr>
          <w:t xml:space="preserve">&lt;34(2)&gt;</w:t>
        </w:r>
      </w:hyperlink>
      <w:r>
        <w:rPr>
          <w:sz w:val="20"/>
        </w:rPr>
        <w:t xml:space="preserve">.</w:t>
      </w:r>
    </w:p>
    <w:bookmarkStart w:id="304" w:name="P304"/>
    <w:bookmarkEnd w:id="304"/>
    <w:p>
      <w:pPr>
        <w:pStyle w:val="0"/>
        <w:spacing w:before="200" w:lineRule="auto"/>
        <w:ind w:firstLine="540"/>
        <w:jc w:val="both"/>
      </w:pPr>
      <w:r>
        <w:rPr>
          <w:sz w:val="20"/>
        </w:rPr>
        <w:t xml:space="preserve">4.1.4. Осуществлять оценку результатов предоставления Иного межбюджетного трансферта с учетом обязательств по достижению значений результатов предоставления Иного межбюджетного трансферта, установленных в соответствии с </w:t>
      </w:r>
      <w:hyperlink w:history="0" w:anchor="P356" w:tooltip="4.3.3. Обеспечивать достижение значений результатов предоставления Иного межбюджетного трансферта, установленных в соответствии с приложением N ____ к настоящему Соглашению &lt;40&gt;, являющимся его неотъемлемой частью.">
        <w:r>
          <w:rPr>
            <w:sz w:val="20"/>
            <w:color w:val="0000ff"/>
          </w:rPr>
          <w:t xml:space="preserve">пунктом 4.3.3</w:t>
        </w:r>
      </w:hyperlink>
      <w:r>
        <w:rPr>
          <w:sz w:val="20"/>
        </w:rPr>
        <w:t xml:space="preserve"> настоящего Соглашения, на основании данных отчетности, представленной Субъектом </w:t>
      </w:r>
      <w:hyperlink w:history="0" w:anchor="P533" w:tooltip="&lt;35&gt; Пункт 4.1.4 предусматривается в случаях, если Правилами предоставления иных межбюджетных трансфертов предусмотрены положения о результатах предоставления Иного межбюджетного трансферта.">
        <w:r>
          <w:rPr>
            <w:sz w:val="20"/>
            <w:color w:val="0000ff"/>
          </w:rPr>
          <w:t xml:space="preserve">&lt;35&gt;</w:t>
        </w:r>
      </w:hyperlink>
      <w:r>
        <w:rPr>
          <w:sz w:val="20"/>
        </w:rPr>
        <w:t xml:space="preserve">.</w:t>
      </w:r>
    </w:p>
    <w:bookmarkStart w:id="305" w:name="P305"/>
    <w:bookmarkEnd w:id="305"/>
    <w:p>
      <w:pPr>
        <w:pStyle w:val="1"/>
        <w:spacing w:before="200" w:lineRule="auto"/>
        <w:jc w:val="both"/>
      </w:pPr>
      <w:r>
        <w:rPr>
          <w:sz w:val="20"/>
        </w:rPr>
        <w:t xml:space="preserve">    4.1.5.  В  случае  если  Субъектом  по  состоянию  на  31  декабря года</w:t>
      </w:r>
    </w:p>
    <w:p>
      <w:pPr>
        <w:pStyle w:val="1"/>
        <w:jc w:val="both"/>
      </w:pPr>
      <w:r>
        <w:rPr>
          <w:sz w:val="20"/>
        </w:rPr>
        <w:t xml:space="preserve">предоставления    Иного   межбюджетного   трансферта   допущены   нарушения</w:t>
      </w:r>
    </w:p>
    <w:p>
      <w:pPr>
        <w:pStyle w:val="1"/>
        <w:jc w:val="both"/>
      </w:pPr>
      <w:r>
        <w:rPr>
          <w:sz w:val="20"/>
        </w:rPr>
        <w:t xml:space="preserve">обязательств, предусмотренных </w:t>
      </w:r>
      <w:hyperlink w:history="0" w:anchor="P356" w:tooltip="4.3.3. Обеспечивать достижение значений результатов предоставления Иного межбюджетного трансферта, установленных в соответствии с приложением N ____ к настоящему Соглашению &lt;40&gt;, являющимся его неотъемлемой частью.">
        <w:r>
          <w:rPr>
            <w:sz w:val="20"/>
            <w:color w:val="0000ff"/>
          </w:rPr>
          <w:t xml:space="preserve">пунктом 4.3.3</w:t>
        </w:r>
      </w:hyperlink>
      <w:r>
        <w:rPr>
          <w:sz w:val="20"/>
        </w:rPr>
        <w:t xml:space="preserve"> настоящего Соглашения, и в срок</w:t>
      </w:r>
    </w:p>
    <w:p>
      <w:pPr>
        <w:pStyle w:val="1"/>
        <w:jc w:val="both"/>
      </w:pPr>
      <w:r>
        <w:rPr>
          <w:sz w:val="20"/>
        </w:rPr>
        <w:t xml:space="preserve">до  ____  года,  следующего  за  годом  предоставления  Иного межбюджетного</w:t>
      </w:r>
    </w:p>
    <w:p>
      <w:pPr>
        <w:pStyle w:val="1"/>
        <w:jc w:val="both"/>
      </w:pPr>
      <w:r>
        <w:rPr>
          <w:sz w:val="20"/>
        </w:rPr>
        <w:t xml:space="preserve">трансферта,  указанные  нарушения  не  устранены,  и  (или)  в случае, если</w:t>
      </w:r>
    </w:p>
    <w:p>
      <w:pPr>
        <w:pStyle w:val="1"/>
        <w:jc w:val="both"/>
      </w:pPr>
      <w:r>
        <w:rPr>
          <w:sz w:val="20"/>
        </w:rPr>
        <w:t xml:space="preserve">Субъектом  по  состоянию  на  ____  года предоставления Иного межбюджетного</w:t>
      </w:r>
    </w:p>
    <w:p>
      <w:pPr>
        <w:pStyle w:val="1"/>
        <w:jc w:val="both"/>
      </w:pPr>
      <w:r>
        <w:rPr>
          <w:sz w:val="20"/>
        </w:rPr>
        <w:t xml:space="preserve">трансферта  допущены  нарушения  обязательства   по  обеспечению соблюдения</w:t>
      </w:r>
    </w:p>
    <w:p>
      <w:pPr>
        <w:pStyle w:val="1"/>
        <w:jc w:val="both"/>
      </w:pPr>
      <w:r>
        <w:rPr>
          <w:sz w:val="20"/>
        </w:rPr>
        <w:t xml:space="preserve">сроков   достижения   контрольных   точек,   определенных  для  мониторинга</w:t>
      </w:r>
    </w:p>
    <w:p>
      <w:pPr>
        <w:pStyle w:val="1"/>
        <w:jc w:val="both"/>
      </w:pPr>
      <w:r>
        <w:rPr>
          <w:sz w:val="20"/>
        </w:rPr>
        <w:t xml:space="preserve">строительства,   реконструкции,  в  том  числе  с  элементами  реставрации,</w:t>
      </w:r>
    </w:p>
    <w:p>
      <w:pPr>
        <w:pStyle w:val="1"/>
        <w:jc w:val="both"/>
      </w:pPr>
      <w:r>
        <w:rPr>
          <w:sz w:val="20"/>
        </w:rPr>
        <w:t xml:space="preserve">технического    перевооружения     объектов   капитального    строительства</w:t>
      </w:r>
    </w:p>
    <w:p>
      <w:pPr>
        <w:pStyle w:val="1"/>
        <w:jc w:val="both"/>
      </w:pPr>
      <w:r>
        <w:rPr>
          <w:sz w:val="20"/>
        </w:rPr>
        <w:t xml:space="preserve">и приобретения объектов недвижимого  имущества (за исключением приобретения</w:t>
      </w:r>
    </w:p>
    <w:p>
      <w:pPr>
        <w:pStyle w:val="1"/>
        <w:jc w:val="both"/>
      </w:pPr>
      <w:r>
        <w:rPr>
          <w:sz w:val="20"/>
        </w:rPr>
        <w:t xml:space="preserve">жилых   помещений  для  формирования   муниципального   специализированного</w:t>
      </w:r>
    </w:p>
    <w:p>
      <w:pPr>
        <w:pStyle w:val="1"/>
        <w:jc w:val="both"/>
      </w:pPr>
      <w:r>
        <w:rPr>
          <w:sz w:val="20"/>
        </w:rPr>
        <w:t xml:space="preserve">жилищного фонда  в  целях  реализации  мер  социальной  поддержки отдельных</w:t>
      </w:r>
    </w:p>
    <w:p>
      <w:pPr>
        <w:pStyle w:val="1"/>
        <w:jc w:val="both"/>
      </w:pPr>
      <w:r>
        <w:rPr>
          <w:sz w:val="20"/>
        </w:rPr>
        <w:t xml:space="preserve">категорий граждан)  в  соответствии  с  </w:t>
      </w:r>
      <w:hyperlink w:history="0" r:id="rId30" w:tooltip="Постановление Правительства РФ от 30.05.2024 N 702 (ред. от 24.06.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Положением</w:t>
        </w:r>
      </w:hyperlink>
      <w:r>
        <w:rPr>
          <w:sz w:val="20"/>
        </w:rPr>
        <w:t xml:space="preserve"> о порядке формирования и</w:t>
      </w:r>
    </w:p>
    <w:p>
      <w:pPr>
        <w:pStyle w:val="1"/>
        <w:jc w:val="both"/>
      </w:pPr>
      <w:r>
        <w:rPr>
          <w:sz w:val="20"/>
        </w:rPr>
        <w:t xml:space="preserve">ведения реестра объектов капитального строительства, объектов   недвижимого</w:t>
      </w:r>
    </w:p>
    <w:p>
      <w:pPr>
        <w:pStyle w:val="1"/>
        <w:jc w:val="both"/>
      </w:pPr>
      <w:r>
        <w:rPr>
          <w:sz w:val="20"/>
        </w:rPr>
        <w:t xml:space="preserve">имущества,   строительство   (реконструкция,   в  том  числе  с  элементами</w:t>
      </w:r>
    </w:p>
    <w:p>
      <w:pPr>
        <w:pStyle w:val="1"/>
        <w:jc w:val="both"/>
      </w:pPr>
      <w:r>
        <w:rPr>
          <w:sz w:val="20"/>
        </w:rPr>
        <w:t xml:space="preserve">реставрации,   техническое   перевооружение)   или   приобретение   которых</w:t>
      </w:r>
    </w:p>
    <w:p>
      <w:pPr>
        <w:pStyle w:val="1"/>
        <w:jc w:val="both"/>
      </w:pPr>
      <w:r>
        <w:rPr>
          <w:sz w:val="20"/>
        </w:rPr>
        <w:t xml:space="preserve">осуществляется  (планируется  осуществлять)  за  счет  средств федерального</w:t>
      </w:r>
    </w:p>
    <w:p>
      <w:pPr>
        <w:pStyle w:val="1"/>
        <w:jc w:val="both"/>
      </w:pPr>
      <w:r>
        <w:rPr>
          <w:sz w:val="20"/>
        </w:rPr>
        <w:t xml:space="preserve">бюджета,  утвержденным  постановлением  Правительства  Российской Федерации</w:t>
      </w:r>
    </w:p>
    <w:p>
      <w:pPr>
        <w:pStyle w:val="1"/>
        <w:jc w:val="both"/>
      </w:pPr>
      <w:r>
        <w:rPr>
          <w:sz w:val="20"/>
        </w:rPr>
        <w:t xml:space="preserve">от 30 мая 2024 г. N 702 "Об управлении капитальными  вложениями, финансовое</w:t>
      </w:r>
    </w:p>
    <w:p>
      <w:pPr>
        <w:pStyle w:val="1"/>
        <w:jc w:val="both"/>
      </w:pPr>
      <w:r>
        <w:rPr>
          <w:sz w:val="20"/>
        </w:rPr>
        <w:t xml:space="preserve">обеспечение  которых  осуществляется  (планируется  осуществлять)  за  счет</w:t>
      </w:r>
    </w:p>
    <w:p>
      <w:pPr>
        <w:pStyle w:val="1"/>
        <w:jc w:val="both"/>
      </w:pPr>
      <w:r>
        <w:rPr>
          <w:sz w:val="20"/>
        </w:rPr>
        <w:t xml:space="preserve">средств  федерального  бюджета"  (далее - контрольные  точки строительства)</w:t>
      </w:r>
    </w:p>
    <w:p>
      <w:pPr>
        <w:pStyle w:val="1"/>
        <w:jc w:val="both"/>
      </w:pPr>
      <w:hyperlink w:history="0" w:anchor="P534" w:tooltip="&lt;35.1&gt; Условие о возврате средств в федеральный бюджет в случае нарушения обязательства по обеспечению соблюдения сроков достижения контрольных точек строительства включается в соглашение в случае предоставления Иного межбюджетного трансферта в целях софинансирования расходных обязательств субъекта Российской Федерации, возникающих при осуществлении капитальных вложений в объекты капитального строительства (объекты недвижимого имущества) (за исключением приобретения жилых помещений для формирования муниц...">
        <w:r>
          <w:rPr>
            <w:sz w:val="20"/>
            <w:color w:val="0000ff"/>
          </w:rPr>
          <w:t xml:space="preserve">&lt;35.1&gt;</w:t>
        </w:r>
      </w:hyperlink>
      <w:r>
        <w:rPr>
          <w:sz w:val="20"/>
        </w:rPr>
        <w:t xml:space="preserve">,  и  в  срок  до __ года,  следующего  за годом предоставления Иного</w:t>
      </w:r>
    </w:p>
    <w:p>
      <w:pPr>
        <w:pStyle w:val="1"/>
        <w:jc w:val="both"/>
      </w:pPr>
      <w:r>
        <w:rPr>
          <w:sz w:val="20"/>
        </w:rPr>
        <w:t xml:space="preserve">межбюджетного  трансферта,  указанные  нарушения  не  устранены, рассчитать</w:t>
      </w:r>
    </w:p>
    <w:p>
      <w:pPr>
        <w:pStyle w:val="1"/>
        <w:jc w:val="both"/>
      </w:pPr>
      <w:r>
        <w:rPr>
          <w:sz w:val="20"/>
        </w:rPr>
        <w:t xml:space="preserve">объем средств, подлежащий возврату из ___________________________________ в</w:t>
      </w:r>
    </w:p>
    <w:p>
      <w:pPr>
        <w:pStyle w:val="1"/>
        <w:jc w:val="both"/>
      </w:pPr>
      <w:r>
        <w:rPr>
          <w:sz w:val="20"/>
        </w:rPr>
        <w:t xml:space="preserve">                                 (бюджет субъекта Российской Федерации)</w:t>
      </w:r>
    </w:p>
    <w:p>
      <w:pPr>
        <w:pStyle w:val="1"/>
        <w:jc w:val="both"/>
      </w:pPr>
      <w:r>
        <w:rPr>
          <w:sz w:val="20"/>
        </w:rPr>
        <w:t xml:space="preserve">федеральный   бюджет   в   соответствии  с  Правилами  предоставления  иных</w:t>
      </w:r>
    </w:p>
    <w:p>
      <w:pPr>
        <w:pStyle w:val="1"/>
        <w:jc w:val="both"/>
      </w:pPr>
      <w:r>
        <w:rPr>
          <w:sz w:val="20"/>
        </w:rPr>
        <w:t xml:space="preserve">межбюджетных  трансфертов,  и  направить  Субъекту  требование  о  возврате</w:t>
      </w:r>
    </w:p>
    <w:p>
      <w:pPr>
        <w:pStyle w:val="1"/>
        <w:jc w:val="both"/>
      </w:pPr>
      <w:r>
        <w:rPr>
          <w:sz w:val="20"/>
        </w:rPr>
        <w:t xml:space="preserve">средств  Иного  межбюджетного  трансферта  в федеральный бюджет в указанном</w:t>
      </w:r>
    </w:p>
    <w:p>
      <w:pPr>
        <w:pStyle w:val="1"/>
        <w:jc w:val="both"/>
      </w:pPr>
      <w:r>
        <w:rPr>
          <w:sz w:val="20"/>
        </w:rPr>
        <w:t xml:space="preserve">объеме </w:t>
      </w:r>
      <w:hyperlink w:history="0" w:anchor="P535" w:tooltip="&lt;36&gt; Пункт 4.1.5 предусматривается, если положения о возврате средств Иного межбюджетного трансферта в случае нарушений обязательств по достижению результатов предоставления Иного межбюджетного трансферта и по обеспечению соблюдения сроков достижения контрольных точек строительства предусмотрены Правилами предоставления иных межбюджетных трансфертов и при наличии в соглашении условия, предусмотренного пунктом 4.1.4 настоящей Типовой формы соглашения.">
        <w:r>
          <w:rPr>
            <w:sz w:val="20"/>
            <w:color w:val="0000ff"/>
          </w:rPr>
          <w:t xml:space="preserve">&lt;36&gt;</w:t>
        </w:r>
      </w:hyperlink>
      <w:r>
        <w:rPr>
          <w:sz w:val="20"/>
        </w:rPr>
        <w:t xml:space="preserve">.</w:t>
      </w:r>
    </w:p>
    <w:p>
      <w:pPr>
        <w:pStyle w:val="0"/>
        <w:ind w:firstLine="540"/>
        <w:jc w:val="both"/>
      </w:pPr>
      <w:r>
        <w:rPr>
          <w:sz w:val="20"/>
        </w:rPr>
        <w:t xml:space="preserve">4.1.6. В случае приостановления предоставления Иного межбюджетного трансферта информировать Субъекта о причинах такого приостановления.</w:t>
      </w:r>
    </w:p>
    <w:p>
      <w:pPr>
        <w:pStyle w:val="0"/>
        <w:spacing w:before="200" w:lineRule="auto"/>
        <w:ind w:firstLine="540"/>
        <w:jc w:val="both"/>
      </w:pPr>
      <w:r>
        <w:rPr>
          <w:sz w:val="20"/>
        </w:rPr>
        <w:t xml:space="preserve">4.1.7. Направлять разъяснения Субъекту по вопросам, связанным с исполнением настоящего Соглашения, в течение ____ рабочих дней со дня получения обращения Субъекта в соответствии с </w:t>
      </w:r>
      <w:hyperlink w:history="0" w:anchor="P409" w:tooltip="    4.4.1. Обращаться в ___________________________________________________">
        <w:r>
          <w:rPr>
            <w:sz w:val="20"/>
            <w:color w:val="0000ff"/>
          </w:rPr>
          <w:t xml:space="preserve">пунктом 4.4.1</w:t>
        </w:r>
      </w:hyperlink>
      <w:r>
        <w:rPr>
          <w:sz w:val="20"/>
        </w:rPr>
        <w:t xml:space="preserve"> настоящего Соглашения.</w:t>
      </w:r>
    </w:p>
    <w:p>
      <w:pPr>
        <w:pStyle w:val="0"/>
        <w:spacing w:before="200" w:lineRule="auto"/>
        <w:ind w:firstLine="540"/>
        <w:jc w:val="both"/>
      </w:pPr>
      <w:r>
        <w:rPr>
          <w:sz w:val="20"/>
        </w:rPr>
        <w:t xml:space="preserve">4.1.8. Выполнять иные обязательства, установленные бюджетным законодательством Российской Федерации, Правилами предоставления иных межбюджетных трансфертов, иными нормативными правовыми актами Российской Федерации, регулирующими бюджетные правоотношения по предоставлению иных межбюджетных трансфертов, имеющих целевое назначение, из федерального бюджета бюджетам субъектов Российской Федерации, и настоящим Соглашением </w:t>
      </w:r>
      <w:hyperlink w:history="0" w:anchor="P537" w:tooltip="&lt;37&gt; В соглашении могут быть указаны иные конкретные обязанности в случае, если это предусмотрено Правилами предоставления иных межбюджетных трансфертов, иными нормативными правовыми актами Российской Федерации, регулирующими бюджетные правоотношения по предоставлению иных межбюджетных трансфертов, имеющих целевое назначение, из федерального бюджета бюджетам субъектов Российской Федерации.">
        <w:r>
          <w:rPr>
            <w:sz w:val="20"/>
            <w:color w:val="0000ff"/>
          </w:rPr>
          <w:t xml:space="preserve">&lt;37&gt;</w:t>
        </w:r>
      </w:hyperlink>
      <w:r>
        <w:rPr>
          <w:sz w:val="20"/>
        </w:rPr>
        <w:t xml:space="preserve">:</w:t>
      </w:r>
    </w:p>
    <w:p>
      <w:pPr>
        <w:pStyle w:val="0"/>
        <w:spacing w:before="200" w:lineRule="auto"/>
        <w:ind w:firstLine="540"/>
        <w:jc w:val="both"/>
      </w:pPr>
      <w:r>
        <w:rPr>
          <w:sz w:val="20"/>
        </w:rPr>
        <w:t xml:space="preserve">4.1.8.1. _________________________________________;</w:t>
      </w:r>
    </w:p>
    <w:p>
      <w:pPr>
        <w:pStyle w:val="0"/>
        <w:spacing w:before="200" w:lineRule="auto"/>
        <w:ind w:firstLine="540"/>
        <w:jc w:val="both"/>
      </w:pPr>
      <w:r>
        <w:rPr>
          <w:sz w:val="20"/>
        </w:rPr>
        <w:t xml:space="preserve">4.1.8.2. _________________________________________.</w:t>
      </w:r>
    </w:p>
    <w:p>
      <w:pPr>
        <w:pStyle w:val="1"/>
        <w:spacing w:before="200" w:lineRule="auto"/>
        <w:jc w:val="both"/>
      </w:pPr>
      <w:r>
        <w:rPr>
          <w:sz w:val="20"/>
        </w:rPr>
        <w:t xml:space="preserve">    4.2. _____________________________________ вправе:</w:t>
      </w:r>
    </w:p>
    <w:p>
      <w:pPr>
        <w:pStyle w:val="1"/>
        <w:jc w:val="both"/>
      </w:pPr>
      <w:r>
        <w:rPr>
          <w:sz w:val="20"/>
        </w:rPr>
        <w:t xml:space="preserve">           (Министерство, Агентство, Служба)</w:t>
      </w:r>
    </w:p>
    <w:p>
      <w:pPr>
        <w:pStyle w:val="0"/>
        <w:ind w:firstLine="540"/>
        <w:jc w:val="both"/>
      </w:pPr>
      <w:r>
        <w:rPr>
          <w:sz w:val="20"/>
        </w:rPr>
        <w:t xml:space="preserve">4.2.1. Запрашивать у Субъекта документы и материалы, необходимые для осуществления контроля за соблюдением Субъектом условий предоставления Иного межбюджетного трансферта и других обязательств, предусмотренных Соглашением, в том числе данные бухгалтерского учета и первичную документацию, связанные с исполнением Субъектом условий предоставления Иного межбюджетного трансферта.</w:t>
      </w:r>
    </w:p>
    <w:p>
      <w:pPr>
        <w:pStyle w:val="0"/>
        <w:spacing w:before="200" w:lineRule="auto"/>
        <w:ind w:firstLine="540"/>
        <w:jc w:val="both"/>
      </w:pPr>
      <w:r>
        <w:rPr>
          <w:sz w:val="20"/>
        </w:rPr>
        <w:t xml:space="preserve">4.2.2. Осуществлять иные права, установленные бюджетным законодательством Российской Федерации, Правилами предоставления иных межбюджетных трансфертов, иными нормативными правовыми актами Российской Федерации, регулирующими бюджетные правоотношения по предоставлению иных межбюджетных трансфертов, имеющих целевое назначение, из федерального бюджета бюджетам субъектов Российской Федерации, и настоящим Соглашением </w:t>
      </w:r>
      <w:hyperlink w:history="0" w:anchor="P538" w:tooltip="&lt;38&gt; В соглашении могут быть указаны иные конкретные права в случае, если это предусмотрено Правилами предоставления иных межбюджетных трансфертов, иными нормативными правовыми актами Российской Федерации, регулирующими бюджетные правоотношения по предоставлению иных межбюджетных трансфертов, имеющих целевое назначение, из федерального бюджета бюджетам субъектов Российской Федерации.">
        <w:r>
          <w:rPr>
            <w:sz w:val="20"/>
            <w:color w:val="0000ff"/>
          </w:rPr>
          <w:t xml:space="preserve">&lt;38&gt;</w:t>
        </w:r>
      </w:hyperlink>
      <w:r>
        <w:rPr>
          <w:sz w:val="20"/>
        </w:rPr>
        <w:t xml:space="preserve">:</w:t>
      </w:r>
    </w:p>
    <w:p>
      <w:pPr>
        <w:pStyle w:val="0"/>
        <w:spacing w:before="200" w:lineRule="auto"/>
        <w:ind w:firstLine="540"/>
        <w:jc w:val="both"/>
      </w:pPr>
      <w:r>
        <w:rPr>
          <w:sz w:val="20"/>
        </w:rPr>
        <w:t xml:space="preserve">4.2.2.1. _________________________________________;</w:t>
      </w:r>
    </w:p>
    <w:p>
      <w:pPr>
        <w:pStyle w:val="0"/>
        <w:spacing w:before="200" w:lineRule="auto"/>
        <w:ind w:firstLine="540"/>
        <w:jc w:val="both"/>
      </w:pPr>
      <w:r>
        <w:rPr>
          <w:sz w:val="20"/>
        </w:rPr>
        <w:t xml:space="preserve">4.2.2.2. _________________________________________.</w:t>
      </w:r>
    </w:p>
    <w:p>
      <w:pPr>
        <w:pStyle w:val="0"/>
        <w:spacing w:before="200" w:lineRule="auto"/>
        <w:ind w:firstLine="540"/>
        <w:jc w:val="both"/>
      </w:pPr>
      <w:r>
        <w:rPr>
          <w:sz w:val="20"/>
        </w:rPr>
        <w:t xml:space="preserve">4.3. Субъект обязуется:</w:t>
      </w:r>
    </w:p>
    <w:p>
      <w:pPr>
        <w:pStyle w:val="0"/>
        <w:spacing w:before="200" w:lineRule="auto"/>
        <w:ind w:firstLine="540"/>
        <w:jc w:val="both"/>
      </w:pPr>
      <w:r>
        <w:rPr>
          <w:sz w:val="20"/>
        </w:rPr>
        <w:t xml:space="preserve">4.3.1. Обеспечивать выполнение условий предоставления Иного межбюджетного трансферта, установленных </w:t>
      </w:r>
      <w:hyperlink w:history="0" w:anchor="P218" w:tooltip="3.2. Иной межбюджетный трансферт предоставляется при выполнении следующих условий &lt;15&gt;:">
        <w:r>
          <w:rPr>
            <w:sz w:val="20"/>
            <w:color w:val="0000ff"/>
          </w:rPr>
          <w:t xml:space="preserve">пунктом 3.2</w:t>
        </w:r>
      </w:hyperlink>
      <w:r>
        <w:rPr>
          <w:sz w:val="20"/>
        </w:rPr>
        <w:t xml:space="preserve"> настоящего Соглашения.</w:t>
      </w:r>
    </w:p>
    <w:bookmarkStart w:id="348" w:name="P348"/>
    <w:bookmarkEnd w:id="348"/>
    <w:p>
      <w:pPr>
        <w:pStyle w:val="1"/>
        <w:spacing w:before="200" w:lineRule="auto"/>
        <w:jc w:val="both"/>
      </w:pPr>
      <w:r>
        <w:rPr>
          <w:sz w:val="20"/>
        </w:rPr>
        <w:t xml:space="preserve">    4.3.2.           Обеспечивать           исполнение           требований</w:t>
      </w:r>
    </w:p>
    <w:p>
      <w:pPr>
        <w:pStyle w:val="1"/>
        <w:jc w:val="both"/>
      </w:pPr>
      <w:r>
        <w:rPr>
          <w:sz w:val="20"/>
        </w:rPr>
        <w:t xml:space="preserve">_____________________________________________________ по возврату средств в</w:t>
      </w:r>
    </w:p>
    <w:p>
      <w:pPr>
        <w:pStyle w:val="1"/>
        <w:jc w:val="both"/>
      </w:pPr>
      <w:r>
        <w:rPr>
          <w:sz w:val="20"/>
        </w:rPr>
        <w:t xml:space="preserve">         (Министерства, Агентства, Службы)</w:t>
      </w:r>
    </w:p>
    <w:p>
      <w:pPr>
        <w:pStyle w:val="1"/>
        <w:jc w:val="both"/>
      </w:pPr>
      <w:r>
        <w:rPr>
          <w:sz w:val="20"/>
        </w:rPr>
        <w:t xml:space="preserve">федеральный   бюджет,   если  Правилами  предоставления  иных  межбюджетных</w:t>
      </w:r>
    </w:p>
    <w:p>
      <w:pPr>
        <w:pStyle w:val="1"/>
        <w:jc w:val="both"/>
      </w:pPr>
      <w:r>
        <w:rPr>
          <w:sz w:val="20"/>
        </w:rPr>
        <w:t xml:space="preserve">трансфертов  предусматриваются  положения  о возврате средств в федеральный</w:t>
      </w:r>
    </w:p>
    <w:p>
      <w:pPr>
        <w:pStyle w:val="1"/>
        <w:jc w:val="both"/>
      </w:pPr>
      <w:r>
        <w:rPr>
          <w:sz w:val="20"/>
        </w:rPr>
        <w:t xml:space="preserve">бюджет  за  нарушение обязательств по достижению результатов предоставления</w:t>
      </w:r>
    </w:p>
    <w:p>
      <w:pPr>
        <w:pStyle w:val="1"/>
        <w:jc w:val="both"/>
      </w:pPr>
      <w:r>
        <w:rPr>
          <w:sz w:val="20"/>
        </w:rPr>
        <w:t xml:space="preserve">Иного   межбюджетного   трансферта   и  по  обеспечению  соблюдения  сроков</w:t>
      </w:r>
    </w:p>
    <w:p>
      <w:pPr>
        <w:pStyle w:val="1"/>
        <w:jc w:val="both"/>
      </w:pPr>
      <w:r>
        <w:rPr>
          <w:sz w:val="20"/>
        </w:rPr>
        <w:t xml:space="preserve">достижения контрольных точек строительства </w:t>
      </w:r>
      <w:hyperlink w:history="0" w:anchor="P539" w:tooltip="&lt;39&gt; Пункт 4.3.2 предусматривается при наличии в соглашении условия, предусмотренного пунктом 4.1.5 настоящей Типовой формы соглашения.">
        <w:r>
          <w:rPr>
            <w:sz w:val="20"/>
            <w:color w:val="0000ff"/>
          </w:rPr>
          <w:t xml:space="preserve">&lt;39&gt;</w:t>
        </w:r>
      </w:hyperlink>
      <w:r>
        <w:rPr>
          <w:sz w:val="20"/>
        </w:rPr>
        <w:t xml:space="preserve">.</w:t>
      </w:r>
    </w:p>
    <w:bookmarkStart w:id="356" w:name="P356"/>
    <w:bookmarkEnd w:id="356"/>
    <w:p>
      <w:pPr>
        <w:pStyle w:val="0"/>
        <w:ind w:firstLine="540"/>
        <w:jc w:val="both"/>
      </w:pPr>
      <w:r>
        <w:rPr>
          <w:sz w:val="20"/>
        </w:rPr>
        <w:t xml:space="preserve">4.3.3. Обеспечивать достижение значений результатов предоставления Иного межбюджетного трансферта, установленных в соответствии с приложением N ____ к настоящему Соглашению </w:t>
      </w:r>
      <w:hyperlink w:history="0" w:anchor="P540" w:tooltip="&lt;40&gt; Пункт 4.3.3 предусматривается при наличии в соглашении условия, предусмотренного пунктом 4.1.4 настоящей Типовой формы соглашения. Приложение, указанное в пункте 4.3.3, оформляется в соответствии с приложением N 2 к настоящей Типовой форме соглашения.">
        <w:r>
          <w:rPr>
            <w:sz w:val="20"/>
            <w:color w:val="0000ff"/>
          </w:rPr>
          <w:t xml:space="preserve">&lt;40&gt;</w:t>
        </w:r>
      </w:hyperlink>
      <w:r>
        <w:rPr>
          <w:sz w:val="20"/>
        </w:rPr>
        <w:t xml:space="preserve">, являющимся его неотъемлемой частью.</w:t>
      </w:r>
    </w:p>
    <w:bookmarkStart w:id="357" w:name="P357"/>
    <w:bookmarkEnd w:id="357"/>
    <w:p>
      <w:pPr>
        <w:pStyle w:val="0"/>
        <w:spacing w:before="200" w:lineRule="auto"/>
        <w:ind w:firstLine="540"/>
        <w:jc w:val="both"/>
      </w:pPr>
      <w:r>
        <w:rPr>
          <w:sz w:val="20"/>
        </w:rPr>
        <w:t xml:space="preserve">4.3.4. Обеспечивать соблюдение сроков достижения контрольных точек строительства </w:t>
      </w:r>
      <w:hyperlink w:history="0" w:anchor="P541" w:tooltip="&lt;41&gt; Включается в соглашение в случае, если Правилами предоставления иных межбюджетных трансфертов предусмотрено предоставление Иного межбюджетного трансферта в целях софинансирования расходных обязательств субъекта Российской Федерации, возникающих при осуществлении капитальных вложений в объекты капитального строительства (объекты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
        <w:r>
          <w:rPr>
            <w:sz w:val="20"/>
            <w:color w:val="0000ff"/>
          </w:rPr>
          <w:t xml:space="preserve">&lt;41&gt;</w:t>
        </w:r>
      </w:hyperlink>
      <w:r>
        <w:rPr>
          <w:sz w:val="20"/>
        </w:rPr>
        <w:t xml:space="preserve">.</w:t>
      </w:r>
    </w:p>
    <w:bookmarkStart w:id="358" w:name="P358"/>
    <w:bookmarkEnd w:id="358"/>
    <w:p>
      <w:pPr>
        <w:pStyle w:val="0"/>
        <w:spacing w:before="200" w:lineRule="auto"/>
        <w:ind w:firstLine="540"/>
        <w:jc w:val="both"/>
      </w:pPr>
      <w:r>
        <w:rPr>
          <w:sz w:val="20"/>
        </w:rPr>
        <w:t xml:space="preserve">4.3.5. Обеспечивать использование типовой проектной документации (при наличии такой документации) </w:t>
      </w:r>
      <w:hyperlink w:history="0" w:anchor="P542" w:tooltip="&lt;42&gt; Пункт 4.3.5 предусматривается для Иного межбюджетного трансферта, предоставляемого в целях софинансирования расходных обязательств субъекта Российской Федерации по строительству объектов капитального строительства, если данное условие предусмотрено Правилами предоставления иных межбюджетных трансфертов.">
        <w:r>
          <w:rPr>
            <w:sz w:val="20"/>
            <w:color w:val="0000ff"/>
          </w:rPr>
          <w:t xml:space="preserve">&lt;42&gt;</w:t>
        </w:r>
      </w:hyperlink>
      <w:r>
        <w:rPr>
          <w:sz w:val="20"/>
        </w:rPr>
        <w:t xml:space="preserve">.</w:t>
      </w:r>
    </w:p>
    <w:bookmarkStart w:id="359" w:name="P359"/>
    <w:bookmarkEnd w:id="359"/>
    <w:p>
      <w:pPr>
        <w:pStyle w:val="0"/>
        <w:spacing w:before="200" w:lineRule="auto"/>
        <w:ind w:firstLine="540"/>
        <w:jc w:val="both"/>
      </w:pPr>
      <w:r>
        <w:rPr>
          <w:sz w:val="20"/>
        </w:rPr>
        <w:t xml:space="preserve">4.3.6. Обеспечивать формирование и ведение реестра получателей выплат </w:t>
      </w:r>
      <w:hyperlink w:history="0" w:anchor="P543" w:tooltip="&lt;43&gt; Пункт 4.3.6 предусматривается для Иного межбюджетного трансферта, предоставляемого в целях софинансирования расходных обязательств субъекта Российской Федерации по исполнению публичных нормативных обязательств субъектов Российской Федерации, если Правилами предоставления иных межбюджетных трансфертов предусмотрено данное условие.">
        <w:r>
          <w:rPr>
            <w:sz w:val="20"/>
            <w:color w:val="0000ff"/>
          </w:rPr>
          <w:t xml:space="preserve">&lt;43&gt;</w:t>
        </w:r>
      </w:hyperlink>
      <w:r>
        <w:rPr>
          <w:sz w:val="20"/>
        </w:rPr>
        <w:t xml:space="preserve">.</w:t>
      </w:r>
    </w:p>
    <w:bookmarkStart w:id="360" w:name="P360"/>
    <w:bookmarkEnd w:id="360"/>
    <w:p>
      <w:pPr>
        <w:pStyle w:val="0"/>
        <w:spacing w:before="200" w:lineRule="auto"/>
        <w:ind w:firstLine="540"/>
        <w:jc w:val="both"/>
      </w:pPr>
      <w:r>
        <w:rPr>
          <w:sz w:val="20"/>
        </w:rPr>
        <w:t xml:space="preserve">4.3.7. Обеспечивать выполнение установленных требований к качеству и доступности предоставляемых государственных и (или) муниципальных услуг </w:t>
      </w:r>
      <w:hyperlink w:history="0" w:anchor="P544" w:tooltip="&lt;44&gt; Пункт 4.3.7 предусматривается для Иного межбюджетного трансферта, предоставляемого в целях софинансирования расходных обязательств субъекта Российской Федерации по оказанию государственных и (или) муниципальных услуг, если Правилами предоставления иных межбюджетных трансфертов предусмотрено данное условие.">
        <w:r>
          <w:rPr>
            <w:sz w:val="20"/>
            <w:color w:val="0000ff"/>
          </w:rPr>
          <w:t xml:space="preserve">&lt;44&gt;</w:t>
        </w:r>
      </w:hyperlink>
      <w:r>
        <w:rPr>
          <w:sz w:val="20"/>
        </w:rPr>
        <w:t xml:space="preserve">.</w:t>
      </w:r>
    </w:p>
    <w:bookmarkStart w:id="361" w:name="P361"/>
    <w:bookmarkEnd w:id="361"/>
    <w:p>
      <w:pPr>
        <w:pStyle w:val="1"/>
        <w:spacing w:before="200" w:lineRule="auto"/>
        <w:jc w:val="both"/>
      </w:pPr>
      <w:r>
        <w:rPr>
          <w:sz w:val="20"/>
        </w:rPr>
        <w:t xml:space="preserve">    4.3.8.     Обеспечивать    согласование    с    субъектом    бюджетного</w:t>
      </w:r>
    </w:p>
    <w:p>
      <w:pPr>
        <w:pStyle w:val="1"/>
        <w:jc w:val="both"/>
      </w:pPr>
      <w:r>
        <w:rPr>
          <w:sz w:val="20"/>
        </w:rPr>
        <w:t xml:space="preserve">планирования                      государственной                 программы</w:t>
      </w:r>
    </w:p>
    <w:p>
      <w:pPr>
        <w:pStyle w:val="1"/>
        <w:jc w:val="both"/>
      </w:pPr>
      <w:r>
        <w:rPr>
          <w:sz w:val="20"/>
        </w:rPr>
        <w:t xml:space="preserve">_______________________________________________ и вносимых в нее изменений,</w:t>
      </w:r>
    </w:p>
    <w:p>
      <w:pPr>
        <w:pStyle w:val="1"/>
        <w:jc w:val="both"/>
      </w:pPr>
      <w:r>
        <w:rPr>
          <w:sz w:val="20"/>
        </w:rPr>
        <w:t xml:space="preserve"> (наименование субъекта Российской Федерации)</w:t>
      </w:r>
    </w:p>
    <w:p>
      <w:pPr>
        <w:pStyle w:val="1"/>
        <w:jc w:val="both"/>
      </w:pPr>
      <w:r>
        <w:rPr>
          <w:sz w:val="20"/>
        </w:rPr>
        <w:t xml:space="preserve">которые   влекут   изменения   объемов   финансового  обеспечения  и  (или)</w:t>
      </w:r>
    </w:p>
    <w:p>
      <w:pPr>
        <w:pStyle w:val="1"/>
        <w:jc w:val="both"/>
      </w:pPr>
      <w:r>
        <w:rPr>
          <w:sz w:val="20"/>
        </w:rPr>
        <w:t xml:space="preserve">результатов предоставления Иного межбюджетного трансферта и (или) изменение</w:t>
      </w:r>
    </w:p>
    <w:p>
      <w:pPr>
        <w:pStyle w:val="1"/>
        <w:jc w:val="both"/>
      </w:pPr>
      <w:r>
        <w:rPr>
          <w:sz w:val="20"/>
        </w:rPr>
        <w:t xml:space="preserve">состава  мероприятий  (результатов)  указанной государственной программы, в</w:t>
      </w:r>
    </w:p>
    <w:p>
      <w:pPr>
        <w:pStyle w:val="1"/>
        <w:jc w:val="both"/>
      </w:pPr>
      <w:r>
        <w:rPr>
          <w:sz w:val="20"/>
        </w:rPr>
        <w:t xml:space="preserve">целях   софинансирования   которой    предоставляется   Иной   межбюджетный</w:t>
      </w:r>
    </w:p>
    <w:p>
      <w:pPr>
        <w:pStyle w:val="1"/>
        <w:jc w:val="both"/>
      </w:pPr>
      <w:r>
        <w:rPr>
          <w:sz w:val="20"/>
        </w:rPr>
        <w:t xml:space="preserve">трансферт </w:t>
      </w:r>
      <w:hyperlink w:history="0" w:anchor="P545" w:tooltip="&lt;45&gt; Пункт 4.3.8 предусматривается в случае, если такое обязательство предусмотрено Правилами предоставления иных межбюджетных трансфертов.">
        <w:r>
          <w:rPr>
            <w:sz w:val="20"/>
            <w:color w:val="0000ff"/>
          </w:rPr>
          <w:t xml:space="preserve">&lt;45&gt;</w:t>
        </w:r>
      </w:hyperlink>
      <w:r>
        <w:rPr>
          <w:sz w:val="20"/>
        </w:rPr>
        <w:t xml:space="preserve">.</w:t>
      </w:r>
    </w:p>
    <w:p>
      <w:pPr>
        <w:pStyle w:val="1"/>
        <w:jc w:val="both"/>
      </w:pPr>
      <w:r>
        <w:rPr>
          <w:sz w:val="20"/>
        </w:rPr>
        <w:t xml:space="preserve">    4.3.9. Обеспечивать представление в ___________________________________</w:t>
      </w:r>
    </w:p>
    <w:p>
      <w:pPr>
        <w:pStyle w:val="1"/>
        <w:jc w:val="both"/>
      </w:pPr>
      <w:r>
        <w:rPr>
          <w:sz w:val="20"/>
        </w:rPr>
        <w:t xml:space="preserve">                                         (Министерство, Агентство, Службу)</w:t>
      </w:r>
    </w:p>
    <w:p>
      <w:pPr>
        <w:pStyle w:val="1"/>
        <w:jc w:val="both"/>
      </w:pPr>
      <w:r>
        <w:rPr>
          <w:sz w:val="20"/>
        </w:rPr>
        <w:t xml:space="preserve">в   форме   электронного   документа   в   государственной  интегрированной</w:t>
      </w:r>
    </w:p>
    <w:p>
      <w:pPr>
        <w:pStyle w:val="1"/>
        <w:jc w:val="both"/>
      </w:pPr>
      <w:r>
        <w:rPr>
          <w:sz w:val="20"/>
        </w:rPr>
        <w:t xml:space="preserve">информационной  системе  управления  общественными  финансами  "Электронный</w:t>
      </w:r>
    </w:p>
    <w:p>
      <w:pPr>
        <w:pStyle w:val="1"/>
        <w:jc w:val="both"/>
      </w:pPr>
      <w:r>
        <w:rPr>
          <w:sz w:val="20"/>
        </w:rPr>
        <w:t xml:space="preserve">бюджет" </w:t>
      </w:r>
      <w:hyperlink w:history="0" w:anchor="P546" w:tooltip="&lt;46&gt; В части сведений, не составляющих государственную тайну, и (или) сведений, доступ к которым не ограничен в соответствии с федеральными законами, нормативными правовыми актами Президента Российской Федерации и Правительства Российской Федерации. В случае наличия в отчетности таких сведений отчет представляется в форме документа на бумажном носителе.">
        <w:r>
          <w:rPr>
            <w:sz w:val="20"/>
            <w:color w:val="0000ff"/>
          </w:rPr>
          <w:t xml:space="preserve">&lt;46&gt;</w:t>
        </w:r>
      </w:hyperlink>
      <w:r>
        <w:rPr>
          <w:sz w:val="20"/>
        </w:rPr>
        <w:t xml:space="preserve"> отчеты о:</w:t>
      </w:r>
    </w:p>
    <w:p>
      <w:pPr>
        <w:pStyle w:val="1"/>
        <w:jc w:val="both"/>
      </w:pPr>
      <w:r>
        <w:rPr>
          <w:sz w:val="20"/>
        </w:rPr>
        <w:t xml:space="preserve">    4.3.9.1. расходах ____________________________________________, в целях</w:t>
      </w:r>
    </w:p>
    <w:p>
      <w:pPr>
        <w:pStyle w:val="1"/>
        <w:jc w:val="both"/>
      </w:pPr>
      <w:r>
        <w:rPr>
          <w:sz w:val="20"/>
        </w:rPr>
        <w:t xml:space="preserve">                         (бюджет субъекта Российской Федерации)</w:t>
      </w:r>
    </w:p>
    <w:p>
      <w:pPr>
        <w:pStyle w:val="1"/>
        <w:jc w:val="both"/>
      </w:pPr>
      <w:r>
        <w:rPr>
          <w:sz w:val="20"/>
        </w:rPr>
        <w:t xml:space="preserve">софинансирования  которых  предоставляется  Иной межбюджетный трансферт, по</w:t>
      </w:r>
    </w:p>
    <w:p>
      <w:pPr>
        <w:pStyle w:val="1"/>
        <w:jc w:val="both"/>
      </w:pPr>
      <w:r>
        <w:rPr>
          <w:sz w:val="20"/>
        </w:rPr>
        <w:t xml:space="preserve">форме  согласно  приложению N ____ к настоящему Соглашению, являющемуся его</w:t>
      </w:r>
    </w:p>
    <w:p>
      <w:pPr>
        <w:pStyle w:val="1"/>
        <w:jc w:val="both"/>
      </w:pPr>
      <w:r>
        <w:rPr>
          <w:sz w:val="20"/>
        </w:rPr>
        <w:t xml:space="preserve">неотъемлемой частью, не позднее ____ числа месяца, следующего  за  отчетным</w:t>
      </w:r>
    </w:p>
    <w:p>
      <w:pPr>
        <w:pStyle w:val="1"/>
        <w:jc w:val="both"/>
      </w:pPr>
      <w:r>
        <w:rPr>
          <w:sz w:val="20"/>
        </w:rPr>
        <w:t xml:space="preserve">_________________________ </w:t>
      </w:r>
      <w:hyperlink w:history="0" w:anchor="P547" w:tooltip="&lt;47&gt; Оформляется в соответствии с приложением N 8 к настоящей Типовой форме соглашения. Включается в случае наличия в соглашении условия, предусмотренного подпунктом &quot;а&quot; пункта 3.3 настоящей Типовой формы соглашения.">
        <w:r>
          <w:rPr>
            <w:sz w:val="20"/>
            <w:color w:val="0000ff"/>
          </w:rPr>
          <w:t xml:space="preserve">&lt;47&gt;</w:t>
        </w:r>
      </w:hyperlink>
      <w:r>
        <w:rPr>
          <w:sz w:val="20"/>
        </w:rPr>
        <w:t xml:space="preserve">;</w:t>
      </w:r>
    </w:p>
    <w:p>
      <w:pPr>
        <w:pStyle w:val="1"/>
        <w:jc w:val="both"/>
      </w:pPr>
      <w:r>
        <w:rPr>
          <w:sz w:val="20"/>
        </w:rPr>
        <w:t xml:space="preserve">  (месяц, квартал, год)</w:t>
      </w:r>
    </w:p>
    <w:bookmarkStart w:id="382" w:name="P382"/>
    <w:bookmarkEnd w:id="382"/>
    <w:p>
      <w:pPr>
        <w:pStyle w:val="1"/>
        <w:jc w:val="both"/>
      </w:pPr>
      <w:r>
        <w:rPr>
          <w:sz w:val="20"/>
        </w:rPr>
        <w:t xml:space="preserve">    4.3.9.2.   достижении   значений   результатов   предоставления   Иного</w:t>
      </w:r>
    </w:p>
    <w:p>
      <w:pPr>
        <w:pStyle w:val="1"/>
        <w:jc w:val="both"/>
      </w:pPr>
      <w:r>
        <w:rPr>
          <w:sz w:val="20"/>
        </w:rPr>
        <w:t xml:space="preserve">межбюджетного  трансферта по  форме согласно  приложению N ___ к настоящему</w:t>
      </w:r>
    </w:p>
    <w:p>
      <w:pPr>
        <w:pStyle w:val="1"/>
        <w:jc w:val="both"/>
      </w:pPr>
      <w:r>
        <w:rPr>
          <w:sz w:val="20"/>
        </w:rPr>
        <w:t xml:space="preserve">Соглашению, являющемуся его неотъемлемой  частью (_________________________</w:t>
      </w:r>
    </w:p>
    <w:p>
      <w:pPr>
        <w:pStyle w:val="1"/>
        <w:jc w:val="both"/>
      </w:pPr>
      <w:r>
        <w:rPr>
          <w:sz w:val="20"/>
        </w:rPr>
        <w:t xml:space="preserve">                                                       (ежемесячные,</w:t>
      </w:r>
    </w:p>
    <w:p>
      <w:pPr>
        <w:pStyle w:val="1"/>
        <w:jc w:val="both"/>
      </w:pPr>
      <w:r>
        <w:rPr>
          <w:sz w:val="20"/>
        </w:rPr>
        <w:t xml:space="preserve">                                                      ежеквартальные)</w:t>
      </w:r>
    </w:p>
    <w:p>
      <w:pPr>
        <w:pStyle w:val="1"/>
        <w:jc w:val="both"/>
      </w:pPr>
      <w:r>
        <w:rPr>
          <w:sz w:val="20"/>
        </w:rPr>
        <w:t xml:space="preserve">отчеты  -  не  позднее  ___  рабочих  дней  месяца,  следующего за отчетным</w:t>
      </w:r>
    </w:p>
    <w:p>
      <w:pPr>
        <w:pStyle w:val="1"/>
        <w:jc w:val="both"/>
      </w:pPr>
      <w:r>
        <w:rPr>
          <w:sz w:val="20"/>
        </w:rPr>
        <w:t xml:space="preserve">периодом; ежегодные отчеты - не позднее ___ рабочих дней месяца, следующего</w:t>
      </w:r>
    </w:p>
    <w:p>
      <w:pPr>
        <w:pStyle w:val="1"/>
        <w:jc w:val="both"/>
      </w:pPr>
      <w:r>
        <w:rPr>
          <w:sz w:val="20"/>
        </w:rPr>
        <w:t xml:space="preserve">за  отчетным  периодом,  ежегодные  уточненные  отчеты - не позднее _______</w:t>
      </w:r>
    </w:p>
    <w:p>
      <w:pPr>
        <w:pStyle w:val="1"/>
        <w:jc w:val="both"/>
      </w:pPr>
      <w:r>
        <w:rPr>
          <w:sz w:val="20"/>
        </w:rPr>
        <w:t xml:space="preserve">                                                                    (число,</w:t>
      </w:r>
    </w:p>
    <w:p>
      <w:pPr>
        <w:pStyle w:val="1"/>
        <w:jc w:val="both"/>
      </w:pPr>
      <w:r>
        <w:rPr>
          <w:sz w:val="20"/>
        </w:rPr>
        <w:t xml:space="preserve">                                                                     месяц)</w:t>
      </w:r>
    </w:p>
    <w:p>
      <w:pPr>
        <w:pStyle w:val="1"/>
        <w:jc w:val="both"/>
      </w:pPr>
      <w:r>
        <w:rPr>
          <w:sz w:val="20"/>
        </w:rPr>
        <w:t xml:space="preserve">года, следующего за отчетным годом) </w:t>
      </w:r>
      <w:hyperlink w:history="0" w:anchor="P548" w:tooltip="&lt;48&gt; Подпункт 4.3.9.2 пункта 4.3.9 предусматривается в случае, если Правилами предоставления иных межбюджетных трансфертов предусмотрены положения о результатах предоставления Иного межбюджетного трансферта. Отчет о достижении значений результатов предоставления Иного межбюджетного трансферта оформляется в соответствии с приложением N 9 к настоящей Типовой форме соглашения.">
        <w:r>
          <w:rPr>
            <w:sz w:val="20"/>
            <w:color w:val="0000ff"/>
          </w:rPr>
          <w:t xml:space="preserve">&lt;48&gt;</w:t>
        </w:r>
      </w:hyperlink>
      <w:r>
        <w:rPr>
          <w:sz w:val="20"/>
        </w:rPr>
        <w:t xml:space="preserve">.</w:t>
      </w:r>
    </w:p>
    <w:p>
      <w:pPr>
        <w:pStyle w:val="1"/>
        <w:jc w:val="both"/>
      </w:pPr>
      <w:r>
        <w:rPr>
          <w:sz w:val="20"/>
        </w:rPr>
        <w:t xml:space="preserve">    4.3.9.3. Утратил силу</w:t>
      </w:r>
    </w:p>
    <w:p>
      <w:pPr>
        <w:pStyle w:val="1"/>
        <w:jc w:val="both"/>
      </w:pPr>
      <w:r>
        <w:rPr>
          <w:sz w:val="20"/>
        </w:rPr>
        <w:t xml:space="preserve">    4.3.9.4. Утратил силу</w:t>
      </w:r>
    </w:p>
    <w:p>
      <w:pPr>
        <w:pStyle w:val="0"/>
        <w:ind w:firstLine="540"/>
        <w:jc w:val="both"/>
      </w:pPr>
      <w:r>
        <w:rPr>
          <w:sz w:val="20"/>
        </w:rPr>
        <w:t xml:space="preserve">4.3.9(1). Обеспечить представление в государственной интегрированной информационной системе управления общественными финансами "Электронный бюджет" информации о фактическом достижении контрольных точек строительства в срок не позднее плановой и (или) фактической дат достижения каждой контрольной точки строительства </w:t>
      </w:r>
      <w:hyperlink w:history="0" w:anchor="P550" w:tooltip="&lt;49.1&gt; Включается в случае, если соглашение содержит условие, предусмотренное пунктом 4.3.4 настоящей Типовой формы соглашения.">
        <w:r>
          <w:rPr>
            <w:sz w:val="20"/>
            <w:color w:val="0000ff"/>
          </w:rPr>
          <w:t xml:space="preserve">&lt;49.1&gt;</w:t>
        </w:r>
      </w:hyperlink>
      <w:r>
        <w:rPr>
          <w:sz w:val="20"/>
        </w:rPr>
        <w:t xml:space="preserve">.</w:t>
      </w:r>
    </w:p>
    <w:p>
      <w:pPr>
        <w:pStyle w:val="1"/>
        <w:spacing w:before="200" w:lineRule="auto"/>
        <w:jc w:val="both"/>
      </w:pPr>
      <w:r>
        <w:rPr>
          <w:sz w:val="20"/>
        </w:rPr>
        <w:t xml:space="preserve">    4.3.10.   В  случае  получения  запроса  обеспечивать  представление  в</w:t>
      </w:r>
    </w:p>
    <w:p>
      <w:pPr>
        <w:pStyle w:val="1"/>
        <w:jc w:val="both"/>
      </w:pPr>
      <w:r>
        <w:rPr>
          <w:sz w:val="20"/>
        </w:rPr>
        <w:t xml:space="preserve">__________________________________________________ документов и материалов,</w:t>
      </w:r>
    </w:p>
    <w:p>
      <w:pPr>
        <w:pStyle w:val="1"/>
        <w:jc w:val="both"/>
      </w:pPr>
      <w:r>
        <w:rPr>
          <w:sz w:val="20"/>
        </w:rPr>
        <w:t xml:space="preserve">        (Министерство, Агентство, Службу)</w:t>
      </w:r>
    </w:p>
    <w:p>
      <w:pPr>
        <w:pStyle w:val="1"/>
        <w:jc w:val="both"/>
      </w:pPr>
      <w:r>
        <w:rPr>
          <w:sz w:val="20"/>
        </w:rPr>
        <w:t xml:space="preserve">необходимых  для  осуществления  контроля  за соблюдением Субъектом условий</w:t>
      </w:r>
    </w:p>
    <w:p>
      <w:pPr>
        <w:pStyle w:val="1"/>
        <w:jc w:val="both"/>
      </w:pPr>
      <w:r>
        <w:rPr>
          <w:sz w:val="20"/>
        </w:rPr>
        <w:t xml:space="preserve">предоставления   Иного  межбюджетного  трансферта  и  других  обязательств,</w:t>
      </w:r>
    </w:p>
    <w:p>
      <w:pPr>
        <w:pStyle w:val="1"/>
        <w:jc w:val="both"/>
      </w:pPr>
      <w:r>
        <w:rPr>
          <w:sz w:val="20"/>
        </w:rPr>
        <w:t xml:space="preserve">предусмотренных  настоящим  Соглашением,  в том числе данных бухгалтерского</w:t>
      </w:r>
    </w:p>
    <w:p>
      <w:pPr>
        <w:pStyle w:val="1"/>
        <w:jc w:val="both"/>
      </w:pPr>
      <w:r>
        <w:rPr>
          <w:sz w:val="20"/>
        </w:rPr>
        <w:t xml:space="preserve">учета  и  первичной документации, связанных с исполнением Субъектом условий</w:t>
      </w:r>
    </w:p>
    <w:p>
      <w:pPr>
        <w:pStyle w:val="1"/>
        <w:jc w:val="both"/>
      </w:pPr>
      <w:r>
        <w:rPr>
          <w:sz w:val="20"/>
        </w:rPr>
        <w:t xml:space="preserve">предоставления Иного межбюджетного трансферта.</w:t>
      </w:r>
    </w:p>
    <w:p>
      <w:pPr>
        <w:pStyle w:val="0"/>
        <w:ind w:firstLine="540"/>
        <w:jc w:val="both"/>
      </w:pPr>
      <w:r>
        <w:rPr>
          <w:sz w:val="20"/>
        </w:rPr>
        <w:t xml:space="preserve">4.3.11. Возвратить в федеральный бюджет не использованный по состоянию на 1 января финансового года, следующего за отчетным, остаток средств Иного межбюджетного трансферта в сроки, установленные бюджетным законодательством Российской Федерации.</w:t>
      </w:r>
    </w:p>
    <w:p>
      <w:pPr>
        <w:pStyle w:val="0"/>
        <w:spacing w:before="200" w:lineRule="auto"/>
        <w:ind w:firstLine="540"/>
        <w:jc w:val="both"/>
      </w:pPr>
      <w:r>
        <w:rPr>
          <w:sz w:val="20"/>
        </w:rPr>
        <w:t xml:space="preserve">4.3.12. Выполнять иные обязательства, установленные бюджетным законодательством Российской Федерации, Правилами предоставления иных межбюджетных трансфертов, иными нормативными правовыми актами Российской Федерации, регулирующими бюджетные правоотношения по предоставлению иных межбюджетных трансфертов, имеющих целевое назначение, из федерального бюджета бюджетам субъектов Российской Федерации, и настоящим Соглашением:</w:t>
      </w:r>
    </w:p>
    <w:p>
      <w:pPr>
        <w:pStyle w:val="0"/>
        <w:spacing w:before="200" w:lineRule="auto"/>
        <w:ind w:firstLine="540"/>
        <w:jc w:val="both"/>
      </w:pPr>
      <w:r>
        <w:rPr>
          <w:sz w:val="20"/>
        </w:rPr>
        <w:t xml:space="preserve">4.3.12.1. ________________________________________;</w:t>
      </w:r>
    </w:p>
    <w:p>
      <w:pPr>
        <w:pStyle w:val="0"/>
        <w:spacing w:before="200" w:lineRule="auto"/>
        <w:ind w:firstLine="540"/>
        <w:jc w:val="both"/>
      </w:pPr>
      <w:r>
        <w:rPr>
          <w:sz w:val="20"/>
        </w:rPr>
        <w:t xml:space="preserve">4.3.12.2. ________________________________________.</w:t>
      </w:r>
    </w:p>
    <w:p>
      <w:pPr>
        <w:pStyle w:val="0"/>
        <w:spacing w:before="200" w:lineRule="auto"/>
        <w:ind w:firstLine="540"/>
        <w:jc w:val="both"/>
      </w:pPr>
      <w:r>
        <w:rPr>
          <w:sz w:val="20"/>
        </w:rPr>
        <w:t xml:space="preserve">4.4. Субъект вправе:</w:t>
      </w:r>
    </w:p>
    <w:bookmarkStart w:id="409" w:name="P409"/>
    <w:bookmarkEnd w:id="409"/>
    <w:p>
      <w:pPr>
        <w:pStyle w:val="1"/>
        <w:spacing w:before="200" w:lineRule="auto"/>
        <w:jc w:val="both"/>
      </w:pPr>
      <w:r>
        <w:rPr>
          <w:sz w:val="20"/>
        </w:rPr>
        <w:t xml:space="preserve">    4.4.1. Обращаться в ___________________________________________________</w:t>
      </w:r>
    </w:p>
    <w:p>
      <w:pPr>
        <w:pStyle w:val="1"/>
        <w:jc w:val="both"/>
      </w:pPr>
      <w:r>
        <w:rPr>
          <w:sz w:val="20"/>
        </w:rPr>
        <w:t xml:space="preserve">                                 (Министерство, Агентство, Службу)</w:t>
      </w:r>
    </w:p>
    <w:p>
      <w:pPr>
        <w:pStyle w:val="1"/>
        <w:jc w:val="both"/>
      </w:pPr>
      <w:r>
        <w:rPr>
          <w:sz w:val="20"/>
        </w:rPr>
        <w:t xml:space="preserve">за разъяснениями в связи с исполнением настоящего Соглашения.</w:t>
      </w:r>
    </w:p>
    <w:p>
      <w:pPr>
        <w:pStyle w:val="0"/>
        <w:ind w:firstLine="540"/>
        <w:jc w:val="both"/>
      </w:pPr>
      <w:r>
        <w:rPr>
          <w:sz w:val="20"/>
        </w:rPr>
        <w:t xml:space="preserve">4.4.2. Осуществлять иные права, установленные бюджетным законодательством Российской Федерации, Правилами предоставления иных межбюджетных трансфертов, иными нормативными правовыми актами Российской Федерации, регулирующими бюджетные правоотношения по предоставлению иных межбюджетных трансфертов, имеющих целевое назначение, из федерального бюджета бюджетам субъектов Российской Федерации, и настоящим Соглашением </w:t>
      </w:r>
      <w:hyperlink w:history="0" w:anchor="P551" w:tooltip="&lt;50&gt; В соглашении могут быть указаны иные конкретные права в случае, если это предусмотрено Правилами предоставления иных межбюджетных трансфертов, иными нормативными правовыми актами Российской Федерации, регулирующими бюджетные правоотношения по предоставлению иных межбюджетных трансфертов, имеющих целевое назначение, из федерального бюджета бюджетам субъектов Российской Федерации.">
        <w:r>
          <w:rPr>
            <w:sz w:val="20"/>
            <w:color w:val="0000ff"/>
          </w:rPr>
          <w:t xml:space="preserve">&lt;50&gt;</w:t>
        </w:r>
      </w:hyperlink>
      <w:r>
        <w:rPr>
          <w:sz w:val="20"/>
        </w:rPr>
        <w:t xml:space="preserve">:</w:t>
      </w:r>
    </w:p>
    <w:p>
      <w:pPr>
        <w:pStyle w:val="0"/>
        <w:spacing w:before="200" w:lineRule="auto"/>
        <w:ind w:firstLine="540"/>
        <w:jc w:val="both"/>
      </w:pPr>
      <w:r>
        <w:rPr>
          <w:sz w:val="20"/>
        </w:rPr>
        <w:t xml:space="preserve">4.4.2.1. _________________________________________;</w:t>
      </w:r>
    </w:p>
    <w:p>
      <w:pPr>
        <w:pStyle w:val="0"/>
        <w:spacing w:before="200" w:lineRule="auto"/>
        <w:ind w:firstLine="540"/>
        <w:jc w:val="both"/>
      </w:pPr>
      <w:r>
        <w:rPr>
          <w:sz w:val="20"/>
        </w:rPr>
        <w:t xml:space="preserve">4.4.2.2. _________________________________________.</w:t>
      </w:r>
    </w:p>
    <w:p>
      <w:pPr>
        <w:pStyle w:val="0"/>
        <w:jc w:val="both"/>
      </w:pPr>
      <w:r>
        <w:rPr>
          <w:sz w:val="20"/>
        </w:rPr>
      </w:r>
    </w:p>
    <w:p>
      <w:pPr>
        <w:pStyle w:val="0"/>
        <w:outlineLvl w:val="1"/>
        <w:jc w:val="center"/>
      </w:pPr>
      <w:r>
        <w:rPr>
          <w:sz w:val="20"/>
        </w:rPr>
        <w:t xml:space="preserve">V. Ответственность Сторон</w:t>
      </w:r>
    </w:p>
    <w:p>
      <w:pPr>
        <w:pStyle w:val="0"/>
        <w:jc w:val="both"/>
      </w:pPr>
      <w:r>
        <w:rPr>
          <w:sz w:val="20"/>
        </w:rPr>
      </w:r>
    </w:p>
    <w:p>
      <w:pPr>
        <w:pStyle w:val="0"/>
        <w:ind w:firstLine="540"/>
        <w:jc w:val="both"/>
      </w:pPr>
      <w:r>
        <w:rPr>
          <w:sz w:val="20"/>
        </w:rPr>
        <w:t xml:space="preserve">5.1.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5.2. В случае если не использованный по состоянию на 1 января финансового года, следующего за отчетным, остаток Иного межбюджетного трансферта не перечислен в доход федерального бюджета, указанные средства подлежат взысканию в доход федерального бюджета в соответствии с порядком, утвержденным Министерством финансов Российской Федерации. </w:t>
      </w:r>
      <w:hyperlink w:history="0" w:anchor="P552" w:tooltip="&lt;50.1&gt; В соответствии с пунктом 5 статьи 242 Бюджетного кодекса Российской Федерации (Собрание законодательства Российской Федерации, 1998, N 31, ст. 3823; 2019, N 52, ст. 7797).">
        <w:r>
          <w:rPr>
            <w:sz w:val="20"/>
            <w:color w:val="0000ff"/>
          </w:rPr>
          <w:t xml:space="preserve">&lt;50.1&gt;</w:t>
        </w:r>
      </w:hyperlink>
    </w:p>
    <w:p>
      <w:pPr>
        <w:pStyle w:val="0"/>
        <w:jc w:val="both"/>
      </w:pPr>
      <w:r>
        <w:rPr>
          <w:sz w:val="20"/>
        </w:rPr>
      </w:r>
    </w:p>
    <w:bookmarkStart w:id="421" w:name="P421"/>
    <w:bookmarkEnd w:id="421"/>
    <w:p>
      <w:pPr>
        <w:pStyle w:val="0"/>
        <w:outlineLvl w:val="1"/>
        <w:jc w:val="center"/>
      </w:pPr>
      <w:r>
        <w:rPr>
          <w:sz w:val="20"/>
        </w:rPr>
        <w:t xml:space="preserve">VI. Иные условия </w:t>
      </w:r>
      <w:hyperlink w:history="0" w:anchor="P553" w:tooltip="&lt;51&gt; Иные условия предоставления Иного межбюджетного трансферта, за исключением указанных в пункте 3.2 настоящей Типовой формы соглашения, предусмотренные Правилами предоставления иных межбюджетных трансфертов, в том числе регулирующие порядок предоставления Иных межбюджетных трансфертов, включаются исключительно в главу VI соглашения.">
        <w:r>
          <w:rPr>
            <w:sz w:val="20"/>
            <w:color w:val="0000ff"/>
          </w:rPr>
          <w:t xml:space="preserve">&lt;51&gt;</w:t>
        </w:r>
      </w:hyperlink>
    </w:p>
    <w:p>
      <w:pPr>
        <w:pStyle w:val="0"/>
        <w:jc w:val="both"/>
      </w:pPr>
      <w:r>
        <w:rPr>
          <w:sz w:val="20"/>
        </w:rPr>
      </w:r>
    </w:p>
    <w:p>
      <w:pPr>
        <w:pStyle w:val="0"/>
        <w:ind w:firstLine="540"/>
        <w:jc w:val="both"/>
      </w:pPr>
      <w:r>
        <w:rPr>
          <w:sz w:val="20"/>
        </w:rPr>
        <w:t xml:space="preserve">6.1. Иные условия по настоящему Соглашению.</w:t>
      </w:r>
    </w:p>
    <w:bookmarkStart w:id="424" w:name="P424"/>
    <w:bookmarkEnd w:id="424"/>
    <w:p>
      <w:pPr>
        <w:pStyle w:val="1"/>
        <w:spacing w:before="200" w:lineRule="auto"/>
        <w:jc w:val="both"/>
      </w:pPr>
      <w:r>
        <w:rPr>
          <w:sz w:val="20"/>
        </w:rPr>
        <w:t xml:space="preserve">    6.1.1.    Уполномоченным   органом  исполнительной    власти  Субъекта,</w:t>
      </w:r>
    </w:p>
    <w:p>
      <w:pPr>
        <w:pStyle w:val="1"/>
        <w:jc w:val="both"/>
      </w:pPr>
      <w:r>
        <w:rPr>
          <w:sz w:val="20"/>
        </w:rPr>
        <w:t xml:space="preserve">осуществляющим взаимодействие с __________________________________________,</w:t>
      </w:r>
    </w:p>
    <w:p>
      <w:pPr>
        <w:pStyle w:val="1"/>
        <w:jc w:val="both"/>
      </w:pPr>
      <w:r>
        <w:rPr>
          <w:sz w:val="20"/>
        </w:rPr>
        <w:t xml:space="preserve">                                     (Министерство, Агентство, Служба)</w:t>
      </w:r>
    </w:p>
    <w:p>
      <w:pPr>
        <w:pStyle w:val="1"/>
        <w:jc w:val="both"/>
      </w:pPr>
      <w:r>
        <w:rPr>
          <w:sz w:val="20"/>
        </w:rPr>
        <w:t xml:space="preserve">на  который  со  стороны   Субъекта   возлагаются   функции  по  исполнению</w:t>
      </w:r>
    </w:p>
    <w:p>
      <w:pPr>
        <w:pStyle w:val="1"/>
        <w:jc w:val="both"/>
      </w:pPr>
      <w:r>
        <w:rPr>
          <w:sz w:val="20"/>
        </w:rPr>
        <w:t xml:space="preserve">(координации исполнения) настоящего  Соглашения и представление отчетности,</w:t>
      </w:r>
    </w:p>
    <w:p>
      <w:pPr>
        <w:pStyle w:val="1"/>
        <w:jc w:val="both"/>
      </w:pPr>
      <w:r>
        <w:rPr>
          <w:sz w:val="20"/>
        </w:rPr>
        <w:t xml:space="preserve">является ____________________________________________________________ </w:t>
      </w:r>
      <w:hyperlink w:history="0" w:anchor="P554" w:tooltip="&lt;52&gt; Указывается орган или органы исполнительной власти субъекта Российской Федерации, уполномоченные высшим исполнительным органом субъекта Российской Федерации выступать от имени Субъекта при реализации соглашения в случае, если стороной соглашения является высший исполнительный орган субъекта Российской Федерации.">
        <w:r>
          <w:rPr>
            <w:sz w:val="20"/>
            <w:color w:val="0000ff"/>
          </w:rPr>
          <w:t xml:space="preserve">&lt;52&gt;</w:t>
        </w:r>
      </w:hyperlink>
      <w:r>
        <w:rPr>
          <w:sz w:val="20"/>
        </w:rPr>
        <w:t xml:space="preserve">;</w:t>
      </w:r>
    </w:p>
    <w:p>
      <w:pPr>
        <w:pStyle w:val="1"/>
        <w:jc w:val="both"/>
      </w:pPr>
      <w:r>
        <w:rPr>
          <w:sz w:val="20"/>
        </w:rPr>
        <w:t xml:space="preserve">             (наименование органа исполнительной власти субъекта</w:t>
      </w:r>
    </w:p>
    <w:p>
      <w:pPr>
        <w:pStyle w:val="1"/>
        <w:jc w:val="both"/>
      </w:pPr>
      <w:r>
        <w:rPr>
          <w:sz w:val="20"/>
        </w:rPr>
        <w:t xml:space="preserve">                  Российской Федерации с указанием ИНН/КПП)</w:t>
      </w:r>
    </w:p>
    <w:p>
      <w:pPr>
        <w:pStyle w:val="0"/>
        <w:ind w:firstLine="540"/>
        <w:jc w:val="both"/>
      </w:pPr>
      <w:r>
        <w:rPr>
          <w:sz w:val="20"/>
        </w:rPr>
        <w:t xml:space="preserve">6.1.2. ___________________________________________.</w:t>
      </w:r>
    </w:p>
    <w:p>
      <w:pPr>
        <w:pStyle w:val="0"/>
        <w:jc w:val="both"/>
      </w:pPr>
      <w:r>
        <w:rPr>
          <w:sz w:val="20"/>
        </w:rPr>
      </w:r>
    </w:p>
    <w:p>
      <w:pPr>
        <w:pStyle w:val="0"/>
        <w:outlineLvl w:val="1"/>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протоколов или иных документов. При недостижении согласия споры между Сторонами решаются в судебном порядке.</w:t>
      </w:r>
    </w:p>
    <w:p>
      <w:pPr>
        <w:pStyle w:val="0"/>
        <w:spacing w:before="200" w:lineRule="auto"/>
        <w:ind w:firstLine="540"/>
        <w:jc w:val="both"/>
      </w:pPr>
      <w:r>
        <w:rPr>
          <w:sz w:val="20"/>
        </w:rPr>
        <w:t xml:space="preserve">7.2. Подписанное Сторонами Соглашение вступает в силу с даты внесения сведений о нем в реестр соглашений, ведение которого осуществляется Федеральным казначейством </w:t>
      </w:r>
      <w:hyperlink w:history="0" w:anchor="P555" w:tooltip="&lt;52.1&gt; В соответствии с абзацем четырнадцатым пункта 1 статьи 166.1 Бюджетного кодекса Российской Федерации.">
        <w:r>
          <w:rPr>
            <w:sz w:val="20"/>
            <w:color w:val="0000ff"/>
          </w:rPr>
          <w:t xml:space="preserve">&lt;52.1&gt;</w:t>
        </w:r>
      </w:hyperlink>
      <w:r>
        <w:rPr>
          <w:sz w:val="20"/>
        </w:rPr>
        <w:t xml:space="preserve">, и действует до полного исполнения Сторонами своих обязательств по настоящему Соглашению.</w:t>
      </w:r>
    </w:p>
    <w:p>
      <w:pPr>
        <w:pStyle w:val="0"/>
        <w:spacing w:before="200" w:lineRule="auto"/>
        <w:ind w:firstLine="540"/>
        <w:jc w:val="both"/>
      </w:pPr>
      <w:r>
        <w:rPr>
          <w:sz w:val="20"/>
        </w:rPr>
        <w:t xml:space="preserve">В случае заключения по предмету настоящего Соглашения нового соглашения на очередной финансовый год и плановый период обязательства сторон по настоящему Соглашению в части:</w:t>
      </w:r>
    </w:p>
    <w:p>
      <w:pPr>
        <w:pStyle w:val="0"/>
        <w:spacing w:before="200" w:lineRule="auto"/>
        <w:ind w:firstLine="540"/>
        <w:jc w:val="both"/>
      </w:pPr>
      <w:r>
        <w:rPr>
          <w:sz w:val="20"/>
        </w:rPr>
        <w:t xml:space="preserve">а) текущего финансового года действуют до 31 декабря текущего финансового года, за исключением подлежащих исполнению после указанной даты обязательств, которые прекращают свое действие после полного их исполнения;</w:t>
      </w:r>
    </w:p>
    <w:p>
      <w:pPr>
        <w:pStyle w:val="0"/>
        <w:spacing w:before="200" w:lineRule="auto"/>
        <w:ind w:firstLine="540"/>
        <w:jc w:val="both"/>
      </w:pPr>
      <w:r>
        <w:rPr>
          <w:sz w:val="20"/>
        </w:rPr>
        <w:t xml:space="preserve">б) планового периода прекращаются с даты внесения сведений о новом соглашении в указанный реестр соглашений.</w:t>
      </w:r>
    </w:p>
    <w:p>
      <w:pPr>
        <w:pStyle w:val="0"/>
        <w:spacing w:before="200" w:lineRule="auto"/>
        <w:ind w:firstLine="540"/>
        <w:jc w:val="both"/>
      </w:pPr>
      <w:r>
        <w:rPr>
          <w:sz w:val="20"/>
        </w:rPr>
        <w:t xml:space="preserve">7.2(1). Подписанием настоящего Соглашения Субъект подтверждает согласие с установленными в государственной интегрированной информационной системе управления общественными финансами "Электронный бюджет" контрольными точками строительства и со сроками их достижения </w:t>
      </w:r>
      <w:hyperlink w:history="0" w:anchor="P550" w:tooltip="&lt;49.1&gt; Включается в случае, если соглашение содержит условие, предусмотренное пунктом 4.3.4 настоящей Типовой формы соглашения.">
        <w:r>
          <w:rPr>
            <w:sz w:val="20"/>
            <w:color w:val="0000ff"/>
          </w:rPr>
          <w:t xml:space="preserve">&lt;49.1&gt;</w:t>
        </w:r>
      </w:hyperlink>
      <w:r>
        <w:rPr>
          <w:sz w:val="20"/>
        </w:rPr>
        <w:t xml:space="preserve">.</w:t>
      </w:r>
    </w:p>
    <w:p>
      <w:pPr>
        <w:pStyle w:val="0"/>
        <w:spacing w:before="200" w:lineRule="auto"/>
        <w:ind w:firstLine="540"/>
        <w:jc w:val="both"/>
      </w:pPr>
      <w:r>
        <w:rPr>
          <w:sz w:val="20"/>
        </w:rPr>
        <w:t xml:space="preserve">7.3. Изменение настоящего Соглашения осуществляется по инициативе Сторон, а также в случаях, установленных Правилами предоставления иных межбюджетных трансфертов, и оформляется в виде дополнительного соглашения к настоящему Соглашению </w:t>
      </w:r>
      <w:hyperlink w:history="0" w:anchor="P556" w:tooltip="&lt;53&gt; Дополнительное соглашение к соглашению заключается в соответствии с приложением N 13 к настоящей Типовой форме соглашения.">
        <w:r>
          <w:rPr>
            <w:sz w:val="20"/>
            <w:color w:val="0000ff"/>
          </w:rPr>
          <w:t xml:space="preserve">&lt;53&gt;</w:t>
        </w:r>
      </w:hyperlink>
      <w:r>
        <w:rPr>
          <w:sz w:val="20"/>
        </w:rPr>
        <w:t xml:space="preserve">, которое является его неотъемлемой частью, в государственной интегрированной информационной системе управления общественными финансами "Электронный бюджет".</w:t>
      </w:r>
    </w:p>
    <w:bookmarkStart w:id="443" w:name="P443"/>
    <w:bookmarkEnd w:id="443"/>
    <w:p>
      <w:pPr>
        <w:pStyle w:val="1"/>
        <w:spacing w:before="200" w:lineRule="auto"/>
        <w:jc w:val="both"/>
      </w:pPr>
      <w:r>
        <w:rPr>
          <w:sz w:val="20"/>
        </w:rPr>
        <w:t xml:space="preserve">    7.4.  Внесение  в  настоящее  Соглашение  изменений,  предусматривающих</w:t>
      </w:r>
    </w:p>
    <w:p>
      <w:pPr>
        <w:pStyle w:val="1"/>
        <w:jc w:val="both"/>
      </w:pPr>
      <w:r>
        <w:rPr>
          <w:sz w:val="20"/>
        </w:rPr>
        <w:t xml:space="preserve">ухудшение   установленных   значений   результатов   предоставления   Иного</w:t>
      </w:r>
    </w:p>
    <w:p>
      <w:pPr>
        <w:pStyle w:val="1"/>
        <w:jc w:val="both"/>
      </w:pPr>
      <w:r>
        <w:rPr>
          <w:sz w:val="20"/>
        </w:rPr>
        <w:t xml:space="preserve">межбюджетного  трансферта, а также продление сроков исполнения обязательств</w:t>
      </w:r>
    </w:p>
    <w:p>
      <w:pPr>
        <w:pStyle w:val="1"/>
        <w:jc w:val="both"/>
      </w:pPr>
      <w:r>
        <w:rPr>
          <w:sz w:val="20"/>
        </w:rPr>
        <w:t xml:space="preserve">предусмотренных настоящим Соглашением, не допускается в течение всего срока</w:t>
      </w:r>
    </w:p>
    <w:p>
      <w:pPr>
        <w:pStyle w:val="1"/>
        <w:jc w:val="both"/>
      </w:pPr>
      <w:r>
        <w:rPr>
          <w:sz w:val="20"/>
        </w:rPr>
        <w:t xml:space="preserve">действия  настоящего  Соглашения,  за исключением случая изменения значений</w:t>
      </w:r>
    </w:p>
    <w:p>
      <w:pPr>
        <w:pStyle w:val="1"/>
        <w:jc w:val="both"/>
      </w:pPr>
      <w:r>
        <w:rPr>
          <w:sz w:val="20"/>
        </w:rPr>
        <w:t xml:space="preserve">показателей  (значения(ий)  мероприятия  (результата)  федерального проекта</w:t>
      </w:r>
    </w:p>
    <w:p>
      <w:pPr>
        <w:pStyle w:val="1"/>
        <w:jc w:val="both"/>
      </w:pPr>
      <w:r>
        <w:rPr>
          <w:sz w:val="20"/>
        </w:rPr>
        <w:t xml:space="preserve">"_________________________________________________________________________"</w:t>
      </w:r>
    </w:p>
    <w:p>
      <w:pPr>
        <w:pStyle w:val="1"/>
        <w:jc w:val="both"/>
      </w:pPr>
      <w:r>
        <w:rPr>
          <w:sz w:val="20"/>
        </w:rPr>
        <w:t xml:space="preserve">                        (наименование федерального проекта)</w:t>
      </w:r>
    </w:p>
    <w:p>
      <w:pPr>
        <w:pStyle w:val="1"/>
        <w:jc w:val="both"/>
      </w:pPr>
      <w:r>
        <w:rPr>
          <w:sz w:val="20"/>
        </w:rPr>
        <w:t xml:space="preserve">и даты(т) его (их)   достижения)   государственной   программы   Российской</w:t>
      </w:r>
    </w:p>
    <w:p>
      <w:pPr>
        <w:pStyle w:val="1"/>
        <w:jc w:val="both"/>
      </w:pPr>
      <w:r>
        <w:rPr>
          <w:sz w:val="20"/>
        </w:rPr>
        <w:t xml:space="preserve">Федерации "_________________________________________________________" </w:t>
      </w:r>
      <w:hyperlink w:history="0" w:anchor="P557" w:tooltip="&lt;54&gt; Указываются наименования федерального проекта и государственной программы Российской Федерации, указанные в пункте 1.1 соглашения.">
        <w:r>
          <w:rPr>
            <w:sz w:val="20"/>
            <w:color w:val="0000ff"/>
          </w:rPr>
          <w:t xml:space="preserve">&lt;54&gt;</w:t>
        </w:r>
      </w:hyperlink>
      <w:r>
        <w:rPr>
          <w:sz w:val="20"/>
        </w:rPr>
        <w:t xml:space="preserve">,</w:t>
      </w:r>
    </w:p>
    <w:p>
      <w:pPr>
        <w:pStyle w:val="1"/>
        <w:jc w:val="both"/>
      </w:pPr>
      <w:r>
        <w:rPr>
          <w:sz w:val="20"/>
        </w:rPr>
        <w:t xml:space="preserve">                  (наименование государственной программы</w:t>
      </w:r>
    </w:p>
    <w:p>
      <w:pPr>
        <w:pStyle w:val="1"/>
        <w:jc w:val="both"/>
      </w:pPr>
      <w:r>
        <w:rPr>
          <w:sz w:val="20"/>
        </w:rPr>
        <w:t xml:space="preserve">                            Российской Федерации)</w:t>
      </w:r>
    </w:p>
    <w:p>
      <w:pPr>
        <w:pStyle w:val="1"/>
        <w:jc w:val="both"/>
      </w:pPr>
      <w:r>
        <w:rPr>
          <w:sz w:val="20"/>
        </w:rPr>
        <w:t xml:space="preserve">а также в случае сокращения размера Иного межбюджетного трансферта </w:t>
      </w:r>
      <w:hyperlink w:history="0" w:anchor="P558" w:tooltip="&lt;55&gt; Пункт 7.4 предусматривается в случае, если Правилами предоставления иных межбюджетных трансфертов предусмотрены положения о результатах предоставления Иного межбюджетного трансферта.">
        <w:r>
          <w:rPr>
            <w:sz w:val="20"/>
            <w:color w:val="0000ff"/>
          </w:rPr>
          <w:t xml:space="preserve">&lt;55&gt;</w:t>
        </w:r>
      </w:hyperlink>
      <w:r>
        <w:rPr>
          <w:sz w:val="20"/>
        </w:rPr>
        <w:t xml:space="preserve">.</w:t>
      </w:r>
    </w:p>
    <w:bookmarkStart w:id="456" w:name="P456"/>
    <w:bookmarkEnd w:id="456"/>
    <w:p>
      <w:pPr>
        <w:pStyle w:val="0"/>
        <w:ind w:firstLine="540"/>
        <w:jc w:val="both"/>
      </w:pPr>
      <w:r>
        <w:rPr>
          <w:sz w:val="20"/>
        </w:rPr>
        <w:t xml:space="preserve">7.5. Внесение в настоящее Соглашение изменений, предусматривающих включение в перечень объектов капитального строительства и (или) объектов недвижимого имущества, в целях софинансирования капитальных вложений в которые или на приобретение которых предоставляется Иной межбюджетный трансферт, новых объектов капитального строительства и (или) объектов недвижимого имущества, в случае уменьшения предусмотренных на 20__ год/20__ - 20__ годы объемов финансового обеспечения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реализация которых не завершена, не допускается </w:t>
      </w:r>
      <w:hyperlink w:history="0" w:anchor="P559" w:tooltip="&lt;56&gt; Пункт 7.5 предусматривается в случае, если Правилами предоставления иных межбюджетных трансфертов предусмотрено предоставление Иного межбюджетного трансферта на капитальные вложения в объекты капитального строительства (приобретение объектов недвижимого имущества).">
        <w:r>
          <w:rPr>
            <w:sz w:val="20"/>
            <w:color w:val="0000ff"/>
          </w:rPr>
          <w:t xml:space="preserve">&lt;56&gt;</w:t>
        </w:r>
      </w:hyperlink>
      <w:r>
        <w:rPr>
          <w:sz w:val="20"/>
        </w:rPr>
        <w:t xml:space="preserve">.</w:t>
      </w:r>
    </w:p>
    <w:bookmarkStart w:id="457" w:name="P457"/>
    <w:bookmarkEnd w:id="457"/>
    <w:p>
      <w:pPr>
        <w:pStyle w:val="0"/>
        <w:spacing w:before="200" w:lineRule="auto"/>
        <w:ind w:firstLine="540"/>
        <w:jc w:val="both"/>
      </w:pPr>
      <w:r>
        <w:rPr>
          <w:sz w:val="20"/>
        </w:rPr>
        <w:t xml:space="preserve">7.6. Расторжение настоящего Соглашения возможно при взаимном согласии Сторон </w:t>
      </w:r>
      <w:hyperlink w:history="0" w:anchor="P560" w:tooltip="&lt;57&gt; Дополнительное соглашение о расторжении соглашения заключается в соответствии с приложением N 14 к настоящей Типовой форме соглашения.">
        <w:r>
          <w:rPr>
            <w:sz w:val="20"/>
            <w:color w:val="0000ff"/>
          </w:rPr>
          <w:t xml:space="preserve">&lt;57&gt;</w:t>
        </w:r>
      </w:hyperlink>
      <w:r>
        <w:rPr>
          <w:sz w:val="20"/>
        </w:rPr>
        <w:t xml:space="preserve">.</w:t>
      </w:r>
    </w:p>
    <w:p>
      <w:pPr>
        <w:pStyle w:val="0"/>
        <w:spacing w:before="200" w:lineRule="auto"/>
        <w:ind w:firstLine="540"/>
        <w:jc w:val="both"/>
      </w:pPr>
      <w:r>
        <w:rPr>
          <w:sz w:val="20"/>
        </w:rPr>
        <w:t xml:space="preserve">7.7. Настоящее Соглашение заключено Сторонами в форме электронного документа и подписано усиленными квалифицированными электронными подписями лиц, имеющих право действовать от имени каждой из Сторон Соглашения.</w:t>
      </w:r>
    </w:p>
    <w:p>
      <w:pPr>
        <w:pStyle w:val="0"/>
        <w:jc w:val="both"/>
      </w:pPr>
      <w:r>
        <w:rPr>
          <w:sz w:val="20"/>
        </w:rPr>
      </w:r>
    </w:p>
    <w:p>
      <w:pPr>
        <w:pStyle w:val="0"/>
        <w:outlineLvl w:val="1"/>
        <w:jc w:val="center"/>
      </w:pPr>
      <w:r>
        <w:rPr>
          <w:sz w:val="20"/>
        </w:rPr>
        <w:t xml:space="preserve">VIII. Платежные реквизиты Сторон: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3"/>
        <w:gridCol w:w="4523"/>
      </w:tblGrid>
      <w:tr>
        <w:tc>
          <w:tcPr>
            <w:tcW w:w="4523" w:type="dxa"/>
          </w:tcPr>
          <w:p>
            <w:pPr>
              <w:pStyle w:val="0"/>
              <w:jc w:val="center"/>
            </w:pPr>
            <w:r>
              <w:rPr>
                <w:sz w:val="20"/>
              </w:rPr>
              <w:t xml:space="preserve">Наименование Министерства, Агентства, Службы</w:t>
            </w:r>
          </w:p>
        </w:tc>
        <w:tc>
          <w:tcPr>
            <w:tcW w:w="4523" w:type="dxa"/>
          </w:tcPr>
          <w:p>
            <w:pPr>
              <w:pStyle w:val="0"/>
              <w:jc w:val="center"/>
            </w:pPr>
            <w:r>
              <w:rPr>
                <w:sz w:val="20"/>
              </w:rPr>
              <w:t xml:space="preserve">Наименование Субъекта</w:t>
            </w:r>
          </w:p>
        </w:tc>
      </w:tr>
      <w:tr>
        <w:tc>
          <w:tcPr>
            <w:tcW w:w="4523" w:type="dxa"/>
            <w:vAlign w:val="center"/>
          </w:tcPr>
          <w:p>
            <w:pPr>
              <w:pStyle w:val="0"/>
            </w:pPr>
            <w:r>
              <w:rPr>
                <w:sz w:val="20"/>
              </w:rPr>
              <w:t xml:space="preserve">Место нахождения:</w:t>
            </w:r>
          </w:p>
        </w:tc>
        <w:tc>
          <w:tcPr>
            <w:tcW w:w="4523" w:type="dxa"/>
            <w:vAlign w:val="center"/>
          </w:tcPr>
          <w:p>
            <w:pPr>
              <w:pStyle w:val="0"/>
            </w:pPr>
            <w:r>
              <w:rPr>
                <w:sz w:val="20"/>
              </w:rPr>
              <w:t xml:space="preserve">Место нахождения:</w:t>
            </w:r>
          </w:p>
        </w:tc>
      </w:tr>
      <w:tr>
        <w:tc>
          <w:tcPr>
            <w:tcW w:w="4523" w:type="dxa"/>
            <w:vAlign w:val="bottom"/>
          </w:tcPr>
          <w:p>
            <w:pPr>
              <w:pStyle w:val="0"/>
            </w:pPr>
            <w:r>
              <w:rPr>
                <w:sz w:val="20"/>
              </w:rPr>
              <w:t xml:space="preserve">Банковские реквизиты:</w:t>
            </w:r>
          </w:p>
        </w:tc>
        <w:tc>
          <w:tcPr>
            <w:tcW w:w="4523" w:type="dxa"/>
            <w:vAlign w:val="bottom"/>
          </w:tcPr>
          <w:p>
            <w:pPr>
              <w:pStyle w:val="0"/>
            </w:pPr>
            <w:r>
              <w:rPr>
                <w:sz w:val="20"/>
              </w:rPr>
              <w:t xml:space="preserve">Банковские реквизиты:</w:t>
            </w:r>
          </w:p>
        </w:tc>
      </w:tr>
      <w:tr>
        <w:tc>
          <w:tcPr>
            <w:tcW w:w="4523" w:type="dxa"/>
          </w:tcPr>
          <w:p>
            <w:pPr>
              <w:pStyle w:val="0"/>
            </w:pPr>
            <w:r>
              <w:rPr>
                <w:sz w:val="20"/>
              </w:rPr>
              <w:t xml:space="preserve">БИК территориального органа Федерального казначейства и наименование учреждения Банка России, в котором открыт единый казначейский счет</w:t>
            </w:r>
          </w:p>
          <w:p>
            <w:pPr>
              <w:pStyle w:val="0"/>
            </w:pPr>
            <w:r>
              <w:rPr>
                <w:sz w:val="20"/>
              </w:rPr>
              <w:t xml:space="preserve">Единый казначейский счет</w:t>
            </w:r>
          </w:p>
          <w:p>
            <w:pPr>
              <w:pStyle w:val="0"/>
            </w:pPr>
            <w:r>
              <w:rPr>
                <w:sz w:val="20"/>
              </w:rPr>
              <w:t xml:space="preserve">Казначейский счет</w:t>
            </w:r>
          </w:p>
          <w:p>
            <w:pPr>
              <w:pStyle w:val="0"/>
            </w:pPr>
            <w:r>
              <w:rPr>
                <w:sz w:val="20"/>
              </w:rPr>
              <w:t xml:space="preserve">Лицевой счет</w:t>
            </w:r>
          </w:p>
          <w:p>
            <w:pPr>
              <w:pStyle w:val="0"/>
            </w:pPr>
            <w:r>
              <w:rPr>
                <w:sz w:val="20"/>
              </w:rPr>
              <w:t xml:space="preserve">Наименование территориального органа Федерального казначейства, в котором открыты казначейский и лицевой счета</w:t>
            </w:r>
          </w:p>
          <w:p>
            <w:pPr>
              <w:pStyle w:val="0"/>
            </w:pPr>
            <w:r>
              <w:rPr>
                <w:sz w:val="20"/>
              </w:rPr>
              <w:t xml:space="preserve">ИНН/КПП Министерства, Агентства, Службы</w:t>
            </w:r>
          </w:p>
          <w:p>
            <w:pPr>
              <w:pStyle w:val="0"/>
            </w:pPr>
            <w:r>
              <w:rPr>
                <w:sz w:val="20"/>
              </w:rPr>
              <w:t xml:space="preserve">ОГРН</w:t>
            </w:r>
          </w:p>
          <w:p>
            <w:pPr>
              <w:pStyle w:val="0"/>
            </w:pPr>
            <w:hyperlink w:history="0" r:id="rId3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19/2025) {КонсультантПлюс}">
              <w:r>
                <w:rPr>
                  <w:sz w:val="20"/>
                  <w:color w:val="0000ff"/>
                </w:rPr>
                <w:t xml:space="preserve">ОКТМО</w:t>
              </w:r>
            </w:hyperlink>
          </w:p>
        </w:tc>
        <w:tc>
          <w:tcPr>
            <w:tcW w:w="4523" w:type="dxa"/>
            <w:vAlign w:val="center"/>
          </w:tcPr>
          <w:p>
            <w:pPr>
              <w:pStyle w:val="0"/>
            </w:pPr>
            <w:r>
              <w:rPr>
                <w:sz w:val="20"/>
              </w:rPr>
              <w:t xml:space="preserve">БИК территориального органа Федерального казначейства и наименование учреждения Банка России, в котором открыт единый казначейский счет</w:t>
            </w:r>
          </w:p>
          <w:p>
            <w:pPr>
              <w:pStyle w:val="0"/>
            </w:pPr>
            <w:r>
              <w:rPr>
                <w:sz w:val="20"/>
              </w:rPr>
              <w:t xml:space="preserve">Единый казначейский счет</w:t>
            </w:r>
          </w:p>
          <w:p>
            <w:pPr>
              <w:pStyle w:val="0"/>
            </w:pPr>
            <w:r>
              <w:rPr>
                <w:sz w:val="20"/>
              </w:rPr>
              <w:t xml:space="preserve">Казначейский счет</w:t>
            </w:r>
          </w:p>
          <w:p>
            <w:pPr>
              <w:pStyle w:val="0"/>
            </w:pPr>
            <w:r>
              <w:rPr>
                <w:sz w:val="20"/>
              </w:rPr>
              <w:t xml:space="preserve">Лицевой счет</w:t>
            </w:r>
          </w:p>
          <w:p>
            <w:pPr>
              <w:pStyle w:val="0"/>
            </w:pPr>
            <w:r>
              <w:rPr>
                <w:sz w:val="20"/>
              </w:rPr>
              <w:t xml:space="preserve">Наименование территориального органа Федерального казначейства, в котором открыты казначейский и лицевой счета</w:t>
            </w:r>
          </w:p>
          <w:p>
            <w:pPr>
              <w:pStyle w:val="0"/>
            </w:pPr>
            <w:r>
              <w:rPr>
                <w:sz w:val="20"/>
              </w:rPr>
              <w:t xml:space="preserve">ИНН/КПП администратора доходов бюджета субъекта Российской Федерации</w:t>
            </w:r>
          </w:p>
          <w:p>
            <w:pPr>
              <w:pStyle w:val="0"/>
            </w:pPr>
            <w:r>
              <w:rPr>
                <w:sz w:val="20"/>
              </w:rPr>
              <w:t xml:space="preserve">ОГРН</w:t>
            </w:r>
          </w:p>
          <w:p>
            <w:pPr>
              <w:pStyle w:val="0"/>
            </w:pPr>
            <w:hyperlink w:history="0" r:id="rId3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19/2025) {КонсультантПлюс}">
              <w:r>
                <w:rPr>
                  <w:sz w:val="20"/>
                  <w:color w:val="0000ff"/>
                </w:rPr>
                <w:t xml:space="preserve">ОКТМО</w:t>
              </w:r>
            </w:hyperlink>
          </w:p>
          <w:p>
            <w:pPr>
              <w:pStyle w:val="0"/>
            </w:pPr>
            <w:r>
              <w:rPr>
                <w:sz w:val="20"/>
              </w:rPr>
              <w:t xml:space="preserve">Код бюджетной классификации доходов, по которому учитываются средства Иного межбюджетного трансферта, поступившего в бюджет субъекта Российской Федерации</w:t>
            </w:r>
          </w:p>
        </w:tc>
      </w:tr>
    </w:tbl>
    <w:p>
      <w:pPr>
        <w:pStyle w:val="0"/>
        <w:jc w:val="both"/>
      </w:pPr>
      <w:r>
        <w:rPr>
          <w:sz w:val="20"/>
        </w:rPr>
      </w:r>
    </w:p>
    <w:p>
      <w:pPr>
        <w:pStyle w:val="0"/>
        <w:outlineLvl w:val="1"/>
        <w:jc w:val="center"/>
      </w:pPr>
      <w:r>
        <w:rPr>
          <w:sz w:val="20"/>
        </w:rPr>
        <w:t xml:space="preserve">IX. Подписи Сторон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9"/>
        <w:gridCol w:w="4530"/>
      </w:tblGrid>
      <w:tr>
        <w:tc>
          <w:tcPr>
            <w:tcW w:w="4529" w:type="dxa"/>
            <w:vAlign w:val="center"/>
          </w:tcPr>
          <w:p>
            <w:pPr>
              <w:pStyle w:val="0"/>
              <w:jc w:val="center"/>
            </w:pPr>
            <w:r>
              <w:rPr>
                <w:sz w:val="20"/>
              </w:rPr>
              <w:t xml:space="preserve">Наименование Министерства, Агентства, Службы</w:t>
            </w:r>
          </w:p>
        </w:tc>
        <w:tc>
          <w:tcPr>
            <w:tcW w:w="4530" w:type="dxa"/>
          </w:tcPr>
          <w:p>
            <w:pPr>
              <w:pStyle w:val="0"/>
              <w:jc w:val="center"/>
            </w:pPr>
            <w:r>
              <w:rPr>
                <w:sz w:val="20"/>
              </w:rPr>
              <w:t xml:space="preserve">Наименование Субъекта</w:t>
            </w:r>
          </w:p>
        </w:tc>
      </w:tr>
      <w:tr>
        <w:tc>
          <w:tcPr>
            <w:tcW w:w="4529" w:type="dxa"/>
          </w:tcPr>
          <w:p>
            <w:pPr>
              <w:pStyle w:val="1"/>
              <w:jc w:val="both"/>
            </w:pPr>
            <w:r>
              <w:rPr>
                <w:sz w:val="20"/>
              </w:rPr>
              <w:t xml:space="preserve">  _________/___________________</w:t>
            </w:r>
          </w:p>
          <w:p>
            <w:pPr>
              <w:pStyle w:val="1"/>
              <w:jc w:val="both"/>
            </w:pPr>
            <w:r>
              <w:rPr>
                <w:sz w:val="20"/>
              </w:rPr>
              <w:t xml:space="preserve">  (подпись)        (ФИО)</w:t>
            </w:r>
          </w:p>
        </w:tc>
        <w:tc>
          <w:tcPr>
            <w:tcW w:w="4530" w:type="dxa"/>
          </w:tcPr>
          <w:p>
            <w:pPr>
              <w:pStyle w:val="1"/>
              <w:jc w:val="both"/>
            </w:pPr>
            <w:r>
              <w:rPr>
                <w:sz w:val="20"/>
              </w:rPr>
              <w:t xml:space="preserve">  _________/___________________</w:t>
            </w:r>
          </w:p>
          <w:p>
            <w:pPr>
              <w:pStyle w:val="1"/>
              <w:jc w:val="both"/>
            </w:pPr>
            <w:r>
              <w:rPr>
                <w:sz w:val="20"/>
              </w:rPr>
              <w:t xml:space="preserve">  (подпись)        (ФИО)</w:t>
            </w:r>
          </w:p>
        </w:tc>
      </w:tr>
    </w:tbl>
    <w:p>
      <w:pPr>
        <w:pStyle w:val="0"/>
        <w:jc w:val="both"/>
      </w:pPr>
      <w:r>
        <w:rPr>
          <w:sz w:val="20"/>
        </w:rPr>
      </w:r>
    </w:p>
    <w:p>
      <w:pPr>
        <w:pStyle w:val="0"/>
        <w:ind w:firstLine="540"/>
        <w:jc w:val="both"/>
      </w:pPr>
      <w:r>
        <w:rPr>
          <w:sz w:val="20"/>
        </w:rPr>
        <w:t xml:space="preserve">--------------------------------</w:t>
      </w:r>
    </w:p>
    <w:bookmarkStart w:id="496" w:name="P496"/>
    <w:bookmarkEnd w:id="496"/>
    <w:p>
      <w:pPr>
        <w:pStyle w:val="0"/>
        <w:spacing w:before="200" w:lineRule="auto"/>
        <w:ind w:firstLine="540"/>
        <w:jc w:val="both"/>
      </w:pPr>
      <w:r>
        <w:rPr>
          <w:sz w:val="20"/>
        </w:rPr>
        <w:t xml:space="preserve">&lt;1&gt; Соглашение о предоставлении иного межбюджетного трансферта, имеющего целевое назначение, из федерального бюджета бюджету субъекта Российской Федерации (далее - соглашение) заключается с уполномоченным органом исполнительный власти субъекта Российской Федерации в случае, если в соответствии с законодательством Российской Федерации он может являться стороной соглашения.</w:t>
      </w:r>
    </w:p>
    <w:bookmarkStart w:id="497" w:name="P497"/>
    <w:bookmarkEnd w:id="497"/>
    <w:p>
      <w:pPr>
        <w:pStyle w:val="0"/>
        <w:spacing w:before="200" w:lineRule="auto"/>
        <w:ind w:firstLine="540"/>
        <w:jc w:val="both"/>
      </w:pPr>
      <w:r>
        <w:rPr>
          <w:sz w:val="20"/>
        </w:rPr>
        <w:t xml:space="preserve">&lt;2&gt; Указывается наименование уполномоченного органа исполнительной власти субъекта Российской Федерации в случае, если он является стороной соглашения.</w:t>
      </w:r>
    </w:p>
    <w:bookmarkStart w:id="498" w:name="P498"/>
    <w:bookmarkEnd w:id="498"/>
    <w:p>
      <w:pPr>
        <w:pStyle w:val="0"/>
        <w:spacing w:before="200" w:lineRule="auto"/>
        <w:ind w:firstLine="540"/>
        <w:jc w:val="both"/>
      </w:pPr>
      <w:r>
        <w:rPr>
          <w:sz w:val="20"/>
        </w:rPr>
        <w:t xml:space="preserve">&lt;3&gt; Указывается наименование должности руководителя уполномоченного органа исполнительной власти субъекта Российской Федерации или уполномоченного им лица в случае, если указанный орган является стороной соглашения.</w:t>
      </w:r>
    </w:p>
    <w:bookmarkStart w:id="499" w:name="P499"/>
    <w:bookmarkEnd w:id="499"/>
    <w:p>
      <w:pPr>
        <w:pStyle w:val="0"/>
        <w:spacing w:before="200" w:lineRule="auto"/>
        <w:ind w:firstLine="540"/>
        <w:jc w:val="both"/>
      </w:pPr>
      <w:r>
        <w:rPr>
          <w:sz w:val="20"/>
        </w:rPr>
        <w:t xml:space="preserve">&lt;4&gt; В случае, если Иной межбюджетный трансферт не распределен федеральным законом о федеральном бюджете на очередной финансовый год и плановый период (федеральным законом о внесении изменений в федеральный закон о федеральном бюджете на очередной финансовый год и плановый период) (далее при совместном упоминании - федеральные законы), указывается акт Правительства Российской Федерации, утверждающий распределение Иного межбюджетного трансферта.</w:t>
      </w:r>
    </w:p>
    <w:bookmarkStart w:id="500" w:name="P500"/>
    <w:bookmarkEnd w:id="500"/>
    <w:p>
      <w:pPr>
        <w:pStyle w:val="0"/>
        <w:spacing w:before="200" w:lineRule="auto"/>
        <w:ind w:firstLine="540"/>
        <w:jc w:val="both"/>
      </w:pPr>
      <w:r>
        <w:rPr>
          <w:sz w:val="20"/>
        </w:rPr>
        <w:t xml:space="preserve">&lt;5.1&gt; Указывается наименование регионального проекта в случаях, когда Иной межбюджетный трансферт предоставляется в целях достижения мероприятий (результатов) регионального проекта, обеспечивающего достижение целей, показателей и мероприятий (результатов) федерального проекта, входящего в состав соответствующего национального проекта.</w:t>
      </w:r>
    </w:p>
    <w:bookmarkStart w:id="501" w:name="P501"/>
    <w:bookmarkEnd w:id="501"/>
    <w:p>
      <w:pPr>
        <w:pStyle w:val="0"/>
        <w:spacing w:before="200" w:lineRule="auto"/>
        <w:ind w:firstLine="540"/>
        <w:jc w:val="both"/>
      </w:pPr>
      <w:r>
        <w:rPr>
          <w:sz w:val="20"/>
        </w:rPr>
        <w:t xml:space="preserve">&lt;5&gt; В случае, если федеральными законами бюджетные ассигнования на предоставление Иного межбюджетного трансферта предусмотрены по разным кодам БК, указываются все коды БК, по которым в федеральном бюджете предусмотрены бюджетные ассигнования на предоставление Иного межбюджетного трансферта.</w:t>
      </w:r>
    </w:p>
    <w:bookmarkStart w:id="502" w:name="P502"/>
    <w:bookmarkEnd w:id="502"/>
    <w:p>
      <w:pPr>
        <w:pStyle w:val="0"/>
        <w:spacing w:before="200" w:lineRule="auto"/>
        <w:ind w:firstLine="540"/>
        <w:jc w:val="both"/>
      </w:pPr>
      <w:r>
        <w:rPr>
          <w:sz w:val="20"/>
        </w:rPr>
        <w:t xml:space="preserve">&lt;6&gt; Указываются наименования федерального проекта и государственной программы Российской Федерации, структурным элементом которой является федеральный проект.</w:t>
      </w:r>
    </w:p>
    <w:bookmarkStart w:id="503" w:name="P503"/>
    <w:bookmarkEnd w:id="503"/>
    <w:p>
      <w:pPr>
        <w:pStyle w:val="0"/>
        <w:spacing w:before="200" w:lineRule="auto"/>
        <w:ind w:firstLine="540"/>
        <w:jc w:val="both"/>
      </w:pPr>
      <w:r>
        <w:rPr>
          <w:sz w:val="20"/>
        </w:rPr>
        <w:t xml:space="preserve">&lt;7&gt; Оформляется приложение к соглашению в соответствии с </w:t>
      </w:r>
      <w:hyperlink w:history="0" w:anchor="P589" w:tooltip="                                Информация">
        <w:r>
          <w:rPr>
            <w:sz w:val="20"/>
            <w:color w:val="0000ff"/>
          </w:rPr>
          <w:t xml:space="preserve">приложением N 1</w:t>
        </w:r>
      </w:hyperlink>
      <w:r>
        <w:rPr>
          <w:sz w:val="20"/>
        </w:rPr>
        <w:t xml:space="preserve"> к настоящей Типовой форме соглашения.</w:t>
      </w:r>
    </w:p>
    <w:bookmarkStart w:id="504" w:name="P504"/>
    <w:bookmarkEnd w:id="504"/>
    <w:p>
      <w:pPr>
        <w:pStyle w:val="0"/>
        <w:spacing w:before="200" w:lineRule="auto"/>
        <w:ind w:firstLine="540"/>
        <w:jc w:val="both"/>
      </w:pPr>
      <w:r>
        <w:rPr>
          <w:sz w:val="20"/>
        </w:rPr>
        <w:t xml:space="preserve">&lt;8&gt; Предусматривается в случаях, если Правилами предоставления иных межбюджетных трансфертов предусмотрено наличие утвержденного правовым актом субъекта Российской Федерации перечня мероприятий, в целях софинансирования которых предоставляется Иной межбюджетный трансферт. При этом могут быть указаны реквизиты нескольких правовых актов субъекта Российской Федерации, обуславливающих расходные обязательства субъекта Российской Федерации, в целях софинансирования которых предоставляется Иной межбюджетный трансферт.</w:t>
      </w:r>
    </w:p>
    <w:bookmarkStart w:id="505" w:name="P505"/>
    <w:bookmarkEnd w:id="505"/>
    <w:p>
      <w:pPr>
        <w:pStyle w:val="0"/>
        <w:spacing w:before="200" w:lineRule="auto"/>
        <w:ind w:firstLine="540"/>
        <w:jc w:val="both"/>
      </w:pPr>
      <w:r>
        <w:rPr>
          <w:sz w:val="20"/>
        </w:rPr>
        <w:t xml:space="preserve">&lt;9&gt; Указываются значения, содержащиеся в графах 7 - 9 по </w:t>
      </w:r>
      <w:hyperlink w:history="0" w:anchor="P902" w:tooltip="Итого:">
        <w:r>
          <w:rPr>
            <w:sz w:val="20"/>
            <w:color w:val="0000ff"/>
          </w:rPr>
          <w:t xml:space="preserve">строке</w:t>
        </w:r>
      </w:hyperlink>
      <w:r>
        <w:rPr>
          <w:sz w:val="20"/>
        </w:rPr>
        <w:t xml:space="preserve"> "Итого" по годам в приложении N 1 к соглашению.</w:t>
      </w:r>
    </w:p>
    <w:bookmarkStart w:id="506" w:name="P506"/>
    <w:bookmarkEnd w:id="506"/>
    <w:p>
      <w:pPr>
        <w:pStyle w:val="0"/>
        <w:spacing w:before="200" w:lineRule="auto"/>
        <w:ind w:firstLine="540"/>
        <w:jc w:val="both"/>
      </w:pPr>
      <w:r>
        <w:rPr>
          <w:sz w:val="20"/>
        </w:rPr>
        <w:t xml:space="preserve">&lt;10&gt; Указываются значения, содержащиеся в графах 11 - 13 по </w:t>
      </w:r>
      <w:hyperlink w:history="0" w:anchor="P902" w:tooltip="Итого:">
        <w:r>
          <w:rPr>
            <w:sz w:val="20"/>
            <w:color w:val="0000ff"/>
          </w:rPr>
          <w:t xml:space="preserve">строке</w:t>
        </w:r>
      </w:hyperlink>
      <w:r>
        <w:rPr>
          <w:sz w:val="20"/>
        </w:rPr>
        <w:t xml:space="preserve"> "Итого" по годам приложения N 1 к соглашению. </w:t>
      </w:r>
      <w:hyperlink w:history="0" w:anchor="P155" w:tooltip="а) составляет &lt;10&gt;:">
        <w:r>
          <w:rPr>
            <w:sz w:val="20"/>
            <w:color w:val="0000ff"/>
          </w:rPr>
          <w:t xml:space="preserve">Подпункт "а" пункта 2.2</w:t>
        </w:r>
      </w:hyperlink>
      <w:r>
        <w:rPr>
          <w:sz w:val="20"/>
        </w:rPr>
        <w:t xml:space="preserve"> предусматривается в случае, если Правилами предоставления иных межбюджетных трансфертов предусмотрено софинансирование расходного обязательства субъекта Российской Федерации в полном объеме расходного обязательства субъекта Российской Федерации. В этом случае в </w:t>
      </w:r>
      <w:hyperlink w:history="0" w:anchor="P589" w:tooltip="                                Информация">
        <w:r>
          <w:rPr>
            <w:sz w:val="20"/>
            <w:color w:val="0000ff"/>
          </w:rPr>
          <w:t xml:space="preserve">приложении N 1</w:t>
        </w:r>
      </w:hyperlink>
      <w:r>
        <w:rPr>
          <w:sz w:val="20"/>
        </w:rPr>
        <w:t xml:space="preserve"> к соглашению графы "уровень софинансирования" не заполняются.</w:t>
      </w:r>
    </w:p>
    <w:bookmarkStart w:id="507" w:name="P507"/>
    <w:bookmarkEnd w:id="507"/>
    <w:p>
      <w:pPr>
        <w:pStyle w:val="0"/>
        <w:spacing w:before="200" w:lineRule="auto"/>
        <w:ind w:firstLine="540"/>
        <w:jc w:val="both"/>
      </w:pPr>
      <w:r>
        <w:rPr>
          <w:sz w:val="20"/>
        </w:rPr>
        <w:t xml:space="preserve">&lt;11&gt; Указываются значения, содержащиеся в графах 11 - 13 по </w:t>
      </w:r>
      <w:hyperlink w:history="0" w:anchor="P902" w:tooltip="Итого:">
        <w:r>
          <w:rPr>
            <w:sz w:val="20"/>
            <w:color w:val="0000ff"/>
          </w:rPr>
          <w:t xml:space="preserve">строке</w:t>
        </w:r>
      </w:hyperlink>
      <w:r>
        <w:rPr>
          <w:sz w:val="20"/>
        </w:rPr>
        <w:t xml:space="preserve"> "Итого" по годам приложения N 1 к соглашению. </w:t>
      </w:r>
      <w:hyperlink w:history="0" w:anchor="P162" w:tooltip="б) исходя из выраженного в процентах от общего объема расходного обязательства субъекта Российской Федерации в целях софинансирования которого(ых) предоставляется Иной межбюджетный трансферт, уровня софинансирования, равного:">
        <w:r>
          <w:rPr>
            <w:sz w:val="20"/>
            <w:color w:val="0000ff"/>
          </w:rPr>
          <w:t xml:space="preserve">Подпункт "б" пункта 2.2</w:t>
        </w:r>
      </w:hyperlink>
      <w:r>
        <w:rPr>
          <w:sz w:val="20"/>
        </w:rPr>
        <w:t xml:space="preserve"> предусматривается в случае принятия главным распорядителем средств федерального бюджета, которому как получателю средств федерального бюджета доведены лимиты бюджетных обязательств на предоставление Иного межбюджетного трансферта, в целях софинансирования расходных обязательств субъекта Российской Федерации, не связанных с осуществлением капитальных вложений в объекты капитального строительства (объекты недвижимого имущества), решения о применении единого уровня софинансирования для расходных обязательств субъекта Российской Федерации, в целях софинансирования которых предоставляется Иной межбюджетный трансферт. В этом случае в </w:t>
      </w:r>
      <w:hyperlink w:history="0" w:anchor="P589" w:tooltip="                                Информация">
        <w:r>
          <w:rPr>
            <w:sz w:val="20"/>
            <w:color w:val="0000ff"/>
          </w:rPr>
          <w:t xml:space="preserve">приложении N 1</w:t>
        </w:r>
      </w:hyperlink>
      <w:r>
        <w:rPr>
          <w:sz w:val="20"/>
        </w:rPr>
        <w:t xml:space="preserve"> к соглашению графы "уровень софинансирования" не заполняются.</w:t>
      </w:r>
    </w:p>
    <w:bookmarkStart w:id="508" w:name="P508"/>
    <w:bookmarkEnd w:id="508"/>
    <w:p>
      <w:pPr>
        <w:pStyle w:val="0"/>
        <w:spacing w:before="200" w:lineRule="auto"/>
        <w:ind w:firstLine="540"/>
        <w:jc w:val="both"/>
      </w:pPr>
      <w:r>
        <w:rPr>
          <w:sz w:val="20"/>
        </w:rPr>
        <w:t xml:space="preserve">&lt;12&gt; Указываются значения, содержащиеся в графах 11 - 13 по </w:t>
      </w:r>
      <w:hyperlink w:history="0" w:anchor="P902" w:tooltip="Итого:">
        <w:r>
          <w:rPr>
            <w:sz w:val="20"/>
            <w:color w:val="0000ff"/>
          </w:rPr>
          <w:t xml:space="preserve">строке</w:t>
        </w:r>
      </w:hyperlink>
      <w:r>
        <w:rPr>
          <w:sz w:val="20"/>
        </w:rPr>
        <w:t xml:space="preserve"> "Итого" по годам приложения N 1 к соглашению. </w:t>
      </w:r>
      <w:hyperlink w:history="0" w:anchor="P172" w:tooltip="в) исходя из уровней софинансирования, выраженных в процентах от объема расходного обязательства субъекта Российской Федерации (исходя из уровня софинансирования, выраженного в процентах по каждому результату предоставления Иного межбюджетного трансферта, в том числе объекту капитального строительства государственной собственности субъекта Российской Федерации (муниципальной собственности) и (или) объекту недвижимого имущества, приобретаемому в государственную собственность субъекта Российской Федерации ...">
        <w:r>
          <w:rPr>
            <w:sz w:val="20"/>
            <w:color w:val="0000ff"/>
          </w:rPr>
          <w:t xml:space="preserve">Подпункт "в" пункта 2.2</w:t>
        </w:r>
      </w:hyperlink>
      <w:r>
        <w:rPr>
          <w:sz w:val="20"/>
        </w:rPr>
        <w:t xml:space="preserve"> предусматривается в случае, если Иной межбюджетный трансферт предоставляется в целях софинансирования расходных обязательств субъекта Российской Федерации, возникающих при осуществлении капитальных вложений в объекты капитального строительства (объекты недвижимого имущества), а также в случае принятия главным распорядителем средств федерального бюджета, которому как получателю средств федерального бюджета доведены лимиты бюджетных обязательств на предоставление Иного межбюджетного трансферта, решения о применении разных уровней софинансирования по каждому результату предоставления Иного межбюджетного трансферта, в том числе объекту капитального строительства государственной собственности субъекта Российской Федерации (муниципальной собственности), объекту недвижимого имущества, приобретаемому в государственную собственность субъекта Российской Федерации (муниципальную собственность), если Правилами предоставления иных межбюджетных трансфертов предусмотрена возможность установления в соглашении различных уровней софинансирования. При этом </w:t>
      </w:r>
      <w:hyperlink w:history="0" w:anchor="P155" w:tooltip="а) составляет &lt;10&gt;:">
        <w:r>
          <w:rPr>
            <w:sz w:val="20"/>
            <w:color w:val="0000ff"/>
          </w:rPr>
          <w:t xml:space="preserve">подпункты "а"</w:t>
        </w:r>
      </w:hyperlink>
      <w:r>
        <w:rPr>
          <w:sz w:val="20"/>
        </w:rPr>
        <w:t xml:space="preserve"> и </w:t>
      </w:r>
      <w:hyperlink w:history="0" w:anchor="P162" w:tooltip="б) исходя из выраженного в процентах от общего объема расходного обязательства субъекта Российской Федерации в целях софинансирования которого(ых) предоставляется Иной межбюджетный трансферт, уровня софинансирования, равного:">
        <w:r>
          <w:rPr>
            <w:sz w:val="20"/>
            <w:color w:val="0000ff"/>
          </w:rPr>
          <w:t xml:space="preserve">"б" пункта 2.2</w:t>
        </w:r>
      </w:hyperlink>
      <w:r>
        <w:rPr>
          <w:sz w:val="20"/>
        </w:rPr>
        <w:t xml:space="preserve"> в соглашении не предусматриваются.</w:t>
      </w:r>
    </w:p>
    <w:bookmarkStart w:id="509" w:name="P509"/>
    <w:bookmarkEnd w:id="509"/>
    <w:p>
      <w:pPr>
        <w:pStyle w:val="0"/>
        <w:spacing w:before="200" w:lineRule="auto"/>
        <w:ind w:firstLine="540"/>
        <w:jc w:val="both"/>
      </w:pPr>
      <w:r>
        <w:rPr>
          <w:sz w:val="20"/>
        </w:rPr>
        <w:t xml:space="preserve">&lt;13&gt; </w:t>
      </w:r>
      <w:hyperlink w:history="0" w:anchor="P179" w:tooltip="    2.2.1.  В случае уменьшения объема бюджетных ассигнований, указанного в">
        <w:r>
          <w:rPr>
            <w:sz w:val="20"/>
            <w:color w:val="0000ff"/>
          </w:rPr>
          <w:t xml:space="preserve">Пункт 2.2.1</w:t>
        </w:r>
      </w:hyperlink>
      <w:r>
        <w:rPr>
          <w:sz w:val="20"/>
        </w:rPr>
        <w:t xml:space="preserve"> предусматривается в случае, если в соответствии с Правилами предоставления иных межбюджетных трансфертов устанавливается уровень софинансирования расходного обязательства субъекта Российской Федерации из федерального бюджета менее 100 процентов. Положения </w:t>
      </w:r>
      <w:hyperlink w:history="0" w:anchor="P179" w:tooltip="    2.2.1.  В случае уменьшения объема бюджетных ассигнований, указанного в">
        <w:r>
          <w:rPr>
            <w:sz w:val="20"/>
            <w:color w:val="0000ff"/>
          </w:rPr>
          <w:t xml:space="preserve">пункта 2.2.1</w:t>
        </w:r>
      </w:hyperlink>
      <w:r>
        <w:rPr>
          <w:sz w:val="20"/>
        </w:rPr>
        <w:t xml:space="preserve">, касающиеся строительства (реконструкции, в том числе с элементами реставрации, технического перевооружения) объекта капитального строительства, предусматриваются в соглашении в случае, если Правилами предоставления иных межбюджетных трансфертов предусмотрено предоставление Иного межбюджетного трансферта на капитальные вложения в объекты капитального строительства (приобретение объекта недвижимого имущества). В </w:t>
      </w:r>
      <w:hyperlink w:history="0" w:anchor="P179" w:tooltip="    2.2.1.  В случае уменьшения объема бюджетных ассигнований, указанного в">
        <w:r>
          <w:rPr>
            <w:sz w:val="20"/>
            <w:color w:val="0000ff"/>
          </w:rPr>
          <w:t xml:space="preserve">пункте 2.2.1</w:t>
        </w:r>
      </w:hyperlink>
      <w:r>
        <w:rPr>
          <w:sz w:val="20"/>
        </w:rPr>
        <w:t xml:space="preserve"> указывается приложение к соглашению, оформленное в соответствии с </w:t>
      </w:r>
      <w:hyperlink w:history="0" w:anchor="P589" w:tooltip="                                Информация">
        <w:r>
          <w:rPr>
            <w:sz w:val="20"/>
            <w:color w:val="0000ff"/>
          </w:rPr>
          <w:t xml:space="preserve">приложением N 1</w:t>
        </w:r>
      </w:hyperlink>
      <w:r>
        <w:rPr>
          <w:sz w:val="20"/>
        </w:rPr>
        <w:t xml:space="preserve"> к настоящей Типовой форме соглашения.</w:t>
      </w:r>
    </w:p>
    <w:bookmarkStart w:id="510" w:name="P510"/>
    <w:bookmarkEnd w:id="510"/>
    <w:p>
      <w:pPr>
        <w:pStyle w:val="0"/>
        <w:spacing w:before="200" w:lineRule="auto"/>
        <w:ind w:firstLine="540"/>
        <w:jc w:val="both"/>
      </w:pPr>
      <w:r>
        <w:rPr>
          <w:sz w:val="20"/>
        </w:rPr>
        <w:t xml:space="preserve">&lt;14&gt; </w:t>
      </w:r>
      <w:hyperlink w:history="0" w:anchor="P194" w:tooltip="    2.3.  Объем  средств,   планируемых  к  предоставлению  из федерального">
        <w:r>
          <w:rPr>
            <w:sz w:val="20"/>
            <w:color w:val="0000ff"/>
          </w:rPr>
          <w:t xml:space="preserve">Пункт 2.3</w:t>
        </w:r>
      </w:hyperlink>
      <w:r>
        <w:rPr>
          <w:sz w:val="20"/>
        </w:rPr>
        <w:t xml:space="preserve"> предусматривается в случае предоставления Иного межбюджетного трансферта в целях софинансирования расходного обязательства субъекта Российской Федерации, срок исполнения которого превышает срок действия доведенных лимитов бюджетных обязательств на его исполнение.</w:t>
      </w:r>
    </w:p>
    <w:bookmarkStart w:id="511" w:name="P511"/>
    <w:bookmarkEnd w:id="511"/>
    <w:p>
      <w:pPr>
        <w:pStyle w:val="0"/>
        <w:spacing w:before="200" w:lineRule="auto"/>
        <w:ind w:firstLine="540"/>
        <w:jc w:val="both"/>
      </w:pPr>
      <w:r>
        <w:rPr>
          <w:sz w:val="20"/>
        </w:rPr>
        <w:t xml:space="preserve">&lt;15&gt; </w:t>
      </w:r>
      <w:hyperlink w:history="0" w:anchor="P219" w:tooltip="    а) наличие правового акта _____________________________________________">
        <w:r>
          <w:rPr>
            <w:sz w:val="20"/>
            <w:color w:val="0000ff"/>
          </w:rPr>
          <w:t xml:space="preserve">Подпункты "а"</w:t>
        </w:r>
      </w:hyperlink>
      <w:r>
        <w:rPr>
          <w:sz w:val="20"/>
        </w:rPr>
        <w:t xml:space="preserve"> и </w:t>
      </w:r>
      <w:hyperlink w:history="0" w:anchor="P225" w:tooltip="    б) наличие в __________________________________________________________">
        <w:r>
          <w:rPr>
            <w:sz w:val="20"/>
            <w:color w:val="0000ff"/>
          </w:rPr>
          <w:t xml:space="preserve">"б" пункта 3.2</w:t>
        </w:r>
      </w:hyperlink>
      <w:r>
        <w:rPr>
          <w:sz w:val="20"/>
        </w:rPr>
        <w:t xml:space="preserve"> предусматриваются в случаях, если Правилами предоставления иных межбюджетных трансфертов предусмотрены данные условия.</w:t>
      </w:r>
    </w:p>
    <w:bookmarkStart w:id="512" w:name="P512"/>
    <w:bookmarkEnd w:id="512"/>
    <w:p>
      <w:pPr>
        <w:pStyle w:val="0"/>
        <w:spacing w:before="200" w:lineRule="auto"/>
        <w:ind w:firstLine="540"/>
        <w:jc w:val="both"/>
      </w:pPr>
      <w:r>
        <w:rPr>
          <w:sz w:val="20"/>
        </w:rPr>
        <w:t xml:space="preserve">&lt;16&gt; </w:t>
      </w:r>
      <w:hyperlink w:history="0" w:anchor="P225" w:tooltip="    б) наличие в __________________________________________________________">
        <w:r>
          <w:rPr>
            <w:sz w:val="20"/>
            <w:color w:val="0000ff"/>
          </w:rPr>
          <w:t xml:space="preserve">Подпункт "б" пункта 3.2</w:t>
        </w:r>
      </w:hyperlink>
      <w:r>
        <w:rPr>
          <w:sz w:val="20"/>
        </w:rPr>
        <w:t xml:space="preserve"> предусматривается в случае, если соглашение не содержит условие, предусмотренное </w:t>
      </w:r>
      <w:hyperlink w:history="0" w:anchor="P230" w:tooltip="    в) наличие   документов,   подтверждающих   фактически   осуществленные">
        <w:r>
          <w:rPr>
            <w:sz w:val="20"/>
            <w:color w:val="0000ff"/>
          </w:rPr>
          <w:t xml:space="preserve">подпунктом "в" пункта 3.2</w:t>
        </w:r>
      </w:hyperlink>
      <w:r>
        <w:rPr>
          <w:sz w:val="20"/>
        </w:rPr>
        <w:t xml:space="preserve"> настоящей Типовой формы соглашения.</w:t>
      </w:r>
    </w:p>
    <w:bookmarkStart w:id="513" w:name="P513"/>
    <w:bookmarkEnd w:id="513"/>
    <w:p>
      <w:pPr>
        <w:pStyle w:val="0"/>
        <w:spacing w:before="200" w:lineRule="auto"/>
        <w:ind w:firstLine="540"/>
        <w:jc w:val="both"/>
      </w:pPr>
      <w:r>
        <w:rPr>
          <w:sz w:val="20"/>
        </w:rPr>
        <w:t xml:space="preserve">&lt;17&gt; </w:t>
      </w:r>
      <w:hyperlink w:history="0" w:anchor="P230" w:tooltip="    в) наличие   документов,   подтверждающих   фактически   осуществленные">
        <w:r>
          <w:rPr>
            <w:sz w:val="20"/>
            <w:color w:val="0000ff"/>
          </w:rPr>
          <w:t xml:space="preserve">Подпункт "в" пункта 3.2</w:t>
        </w:r>
      </w:hyperlink>
      <w:r>
        <w:rPr>
          <w:sz w:val="20"/>
        </w:rPr>
        <w:t xml:space="preserve"> предусматривается в случае, если Иной межбюджетный трансферт предоставляется на возмещение фактически осуществленных расходов бюджетов субъектов Российской Федерации и при наличии в Правилах предоставления иных межбюджетных трансфертов такого условия.</w:t>
      </w:r>
    </w:p>
    <w:bookmarkStart w:id="514" w:name="P514"/>
    <w:bookmarkEnd w:id="514"/>
    <w:p>
      <w:pPr>
        <w:pStyle w:val="0"/>
        <w:spacing w:before="200" w:lineRule="auto"/>
        <w:ind w:firstLine="540"/>
        <w:jc w:val="both"/>
      </w:pPr>
      <w:r>
        <w:rPr>
          <w:sz w:val="20"/>
        </w:rPr>
        <w:t xml:space="preserve">&lt;18&gt; </w:t>
      </w:r>
      <w:hyperlink w:history="0" w:anchor="P233" w:tooltip="г) ограничение размеров авансовых платежей в заключаемых от имени субъекта Российской Федерации государственных контрактах о строительстве (реконструкции, в том числе с элементами реставрации, техническом перевооружении) объекта капитального строительства, в размере, не превышающем 30 процентов суммы такого государственного контракта &lt;18&gt;, если иное не предусмотрено нормативными правовыми актами Правительства Российской Федерации (за исключением нормативных правовых актов Правительства Российской Федерац...">
        <w:r>
          <w:rPr>
            <w:sz w:val="20"/>
            <w:color w:val="0000ff"/>
          </w:rPr>
          <w:t xml:space="preserve">Подпункт "г" пункта 3.2</w:t>
        </w:r>
      </w:hyperlink>
      <w:r>
        <w:rPr>
          <w:sz w:val="20"/>
        </w:rPr>
        <w:t xml:space="preserve"> предусматривается в соглашении в отношении Иного межбюджетного трансферта, правилами предоставления которого предусматривается софинансирование строительства объектов капитального строительства.</w:t>
      </w:r>
    </w:p>
    <w:bookmarkStart w:id="515" w:name="P515"/>
    <w:bookmarkEnd w:id="515"/>
    <w:p>
      <w:pPr>
        <w:pStyle w:val="0"/>
        <w:spacing w:before="200" w:lineRule="auto"/>
        <w:ind w:firstLine="540"/>
        <w:jc w:val="both"/>
      </w:pPr>
      <w:r>
        <w:rPr>
          <w:sz w:val="20"/>
        </w:rPr>
        <w:t xml:space="preserve">&lt;19&gt; В соглашении могут быть указаны иные условия предоставления Иного межбюджетного трансферта в случае, если это предусмотрено Правилами предоставления иных межбюджетных трансфертов.</w:t>
      </w:r>
    </w:p>
    <w:bookmarkStart w:id="516" w:name="P516"/>
    <w:bookmarkEnd w:id="516"/>
    <w:p>
      <w:pPr>
        <w:pStyle w:val="0"/>
        <w:spacing w:before="200" w:lineRule="auto"/>
        <w:ind w:firstLine="540"/>
        <w:jc w:val="both"/>
      </w:pPr>
      <w:r>
        <w:rPr>
          <w:sz w:val="20"/>
        </w:rPr>
        <w:t xml:space="preserve">&lt;20&gt; Условие о представлении документов, предусмотренных </w:t>
      </w:r>
      <w:hyperlink w:history="0" w:anchor="P235" w:tooltip="3.2.1. Документы, подтверждающие выполнение условий предоставления Иного межбюджетного трансферта, предусмотренных подпунктами &quot;а&quot; или &quot;б&quot; пункта 3.2 настоящего Соглашения, представляются однократно Субъектом в территориальный орган Федерального казначейства &lt;20&gt;.">
        <w:r>
          <w:rPr>
            <w:sz w:val="20"/>
            <w:color w:val="0000ff"/>
          </w:rPr>
          <w:t xml:space="preserve">пунктом 3.2.1</w:t>
        </w:r>
      </w:hyperlink>
      <w:r>
        <w:rPr>
          <w:sz w:val="20"/>
        </w:rPr>
        <w:t xml:space="preserve">, предусматривается при наличии в соглашении положений, предусмотренных </w:t>
      </w:r>
      <w:hyperlink w:history="0" w:anchor="P219" w:tooltip="    а) наличие правового акта _____________________________________________">
        <w:r>
          <w:rPr>
            <w:sz w:val="20"/>
            <w:color w:val="0000ff"/>
          </w:rPr>
          <w:t xml:space="preserve">подпунктами "а"</w:t>
        </w:r>
      </w:hyperlink>
      <w:r>
        <w:rPr>
          <w:sz w:val="20"/>
        </w:rPr>
        <w:t xml:space="preserve"> или </w:t>
      </w:r>
      <w:hyperlink w:history="0" w:anchor="P225" w:tooltip="    б) наличие в __________________________________________________________">
        <w:r>
          <w:rPr>
            <w:sz w:val="20"/>
            <w:color w:val="0000ff"/>
          </w:rPr>
          <w:t xml:space="preserve">"б" пункта 3.2</w:t>
        </w:r>
      </w:hyperlink>
      <w:r>
        <w:rPr>
          <w:sz w:val="20"/>
        </w:rPr>
        <w:t xml:space="preserve"> настоящей Типовой формы соглашения.</w:t>
      </w:r>
    </w:p>
    <w:bookmarkStart w:id="517" w:name="P517"/>
    <w:bookmarkEnd w:id="517"/>
    <w:p>
      <w:pPr>
        <w:pStyle w:val="0"/>
        <w:spacing w:before="200" w:lineRule="auto"/>
        <w:ind w:firstLine="540"/>
        <w:jc w:val="both"/>
      </w:pPr>
      <w:r>
        <w:rPr>
          <w:sz w:val="20"/>
        </w:rPr>
        <w:t xml:space="preserve">&lt;21&gt; </w:t>
      </w:r>
      <w:hyperlink w:history="0" w:anchor="P236" w:tooltip="    3.3.  Перечисление  Иного  межбюджетного  трансферта   из  федерального">
        <w:r>
          <w:rPr>
            <w:sz w:val="20"/>
            <w:color w:val="0000ff"/>
          </w:rPr>
          <w:t xml:space="preserve">Подпункт "а" пункта 3.3</w:t>
        </w:r>
      </w:hyperlink>
      <w:r>
        <w:rPr>
          <w:sz w:val="20"/>
        </w:rPr>
        <w:t xml:space="preserve"> предусматривается в случае, если в соответствии с законодательством Российской Федерации полномочия по перечислению Иного межбюджетного трансферта переданы Федеральному казначейству.</w:t>
      </w:r>
    </w:p>
    <w:bookmarkStart w:id="518" w:name="P518"/>
    <w:bookmarkEnd w:id="518"/>
    <w:p>
      <w:pPr>
        <w:pStyle w:val="0"/>
        <w:spacing w:before="200" w:lineRule="auto"/>
        <w:ind w:firstLine="540"/>
        <w:jc w:val="both"/>
      </w:pPr>
      <w:r>
        <w:rPr>
          <w:sz w:val="20"/>
        </w:rPr>
        <w:t xml:space="preserve">&lt;22&gt; </w:t>
      </w:r>
      <w:hyperlink w:history="0" w:anchor="P236" w:tooltip="    3.3.  Перечисление  Иного  межбюджетного  трансферта   из  федерального">
        <w:r>
          <w:rPr>
            <w:sz w:val="20"/>
            <w:color w:val="0000ff"/>
          </w:rPr>
          <w:t xml:space="preserve">Подпункт "б" пункта 3.3</w:t>
        </w:r>
      </w:hyperlink>
      <w:r>
        <w:rPr>
          <w:sz w:val="20"/>
        </w:rPr>
        <w:t xml:space="preserve"> предусматривается в случае, если в соответствии с законодательством Российской Федерации полномочия по перечислению Иного межбюджетного трансферта не переданы Федеральному казначейству.</w:t>
      </w:r>
    </w:p>
    <w:bookmarkStart w:id="519" w:name="P519"/>
    <w:bookmarkEnd w:id="519"/>
    <w:p>
      <w:pPr>
        <w:pStyle w:val="0"/>
        <w:spacing w:before="200" w:lineRule="auto"/>
        <w:ind w:firstLine="540"/>
        <w:jc w:val="both"/>
      </w:pPr>
      <w:r>
        <w:rPr>
          <w:sz w:val="20"/>
        </w:rPr>
        <w:t xml:space="preserve">&lt;23&gt; </w:t>
      </w:r>
      <w:hyperlink w:history="0" r:id="rId33"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sz w:val="20"/>
            <w:color w:val="0000ff"/>
          </w:rPr>
          <w:t xml:space="preserve">Приказ</w:t>
        </w:r>
      </w:hyperlink>
      <w:r>
        <w:rPr>
          <w:sz w:val="20"/>
        </w:rPr>
        <w:t xml:space="preserve"> Федерального казначейства от 14 мая 2020 г. N 21н "О Порядке казначейского обслуживания" (зарегистрирован Министерством юстиции Российской Федерации 13 июля 2020 г., регистрационный N 58914).</w:t>
      </w:r>
    </w:p>
    <w:bookmarkStart w:id="520" w:name="P520"/>
    <w:bookmarkEnd w:id="520"/>
    <w:p>
      <w:pPr>
        <w:pStyle w:val="0"/>
        <w:spacing w:before="200" w:lineRule="auto"/>
        <w:ind w:firstLine="540"/>
        <w:jc w:val="both"/>
      </w:pPr>
      <w:r>
        <w:rPr>
          <w:sz w:val="20"/>
        </w:rPr>
        <w:t xml:space="preserve">&lt;24&gt; </w:t>
      </w:r>
      <w:hyperlink w:history="0" w:anchor="P257" w:tooltip="3.3.1.1. связанных с исполнением расходных обязательств Субъекта, в целях софинансирования которых предоставляется Иной межбюджетный трансферт, представленных &lt;24&gt;:">
        <w:r>
          <w:rPr>
            <w:sz w:val="20"/>
            <w:color w:val="0000ff"/>
          </w:rPr>
          <w:t xml:space="preserve">Пункт 3.3.1.1</w:t>
        </w:r>
      </w:hyperlink>
      <w:r>
        <w:rPr>
          <w:sz w:val="20"/>
        </w:rPr>
        <w:t xml:space="preserve"> предусматривается в случае, если перечисление Иного межбюджетного трансферта осуществляется на счет, указанный в </w:t>
      </w:r>
      <w:hyperlink w:history="0" w:anchor="P236" w:tooltip="    3.3.  Перечисление  Иного  межбюджетного  трансферта   из  федерального">
        <w:r>
          <w:rPr>
            <w:sz w:val="20"/>
            <w:color w:val="0000ff"/>
          </w:rPr>
          <w:t xml:space="preserve">подпункте "а" пункта 3.3</w:t>
        </w:r>
      </w:hyperlink>
      <w:r>
        <w:rPr>
          <w:sz w:val="20"/>
        </w:rPr>
        <w:t xml:space="preserve"> настоящей Типовой формы соглашения.</w:t>
      </w:r>
    </w:p>
    <w:bookmarkStart w:id="521" w:name="P521"/>
    <w:bookmarkEnd w:id="521"/>
    <w:p>
      <w:pPr>
        <w:pStyle w:val="0"/>
        <w:spacing w:before="200" w:lineRule="auto"/>
        <w:ind w:firstLine="540"/>
        <w:jc w:val="both"/>
      </w:pPr>
      <w:r>
        <w:rPr>
          <w:sz w:val="20"/>
        </w:rPr>
        <w:t xml:space="preserve">&lt;25&gt; </w:t>
      </w:r>
      <w:hyperlink w:history="0" w:anchor="P258" w:tooltip="    а) получателем средств _________________________________________ &lt;25&gt;;">
        <w:r>
          <w:rPr>
            <w:sz w:val="20"/>
            <w:color w:val="0000ff"/>
          </w:rPr>
          <w:t xml:space="preserve">Подпункт "а" пункта 3.3.1.1</w:t>
        </w:r>
      </w:hyperlink>
      <w:r>
        <w:rPr>
          <w:sz w:val="20"/>
        </w:rPr>
        <w:t xml:space="preserve"> предусматривается в случае, если операции по расходам получателей средств бюджета субъекта Российской Федерации, в целях софинансирования которых предоставляется Иной межбюджетный трансферт, учитываются на лицевых счетах, открытых в территориальном органе Федерального казначейства.</w:t>
      </w:r>
    </w:p>
    <w:bookmarkStart w:id="522" w:name="P522"/>
    <w:bookmarkEnd w:id="522"/>
    <w:p>
      <w:pPr>
        <w:pStyle w:val="0"/>
        <w:spacing w:before="200" w:lineRule="auto"/>
        <w:ind w:firstLine="540"/>
        <w:jc w:val="both"/>
      </w:pPr>
      <w:r>
        <w:rPr>
          <w:sz w:val="20"/>
        </w:rPr>
        <w:t xml:space="preserve">&lt;26&gt; </w:t>
      </w:r>
      <w:hyperlink w:history="0" w:anchor="P260" w:tooltip="б) финансовым органом Субъекта &lt;26&gt;;">
        <w:r>
          <w:rPr>
            <w:sz w:val="20"/>
            <w:color w:val="0000ff"/>
          </w:rPr>
          <w:t xml:space="preserve">Подпункт "б" пункта 3.3.1.1</w:t>
        </w:r>
      </w:hyperlink>
      <w:r>
        <w:rPr>
          <w:sz w:val="20"/>
        </w:rPr>
        <w:t xml:space="preserve"> предусматривается в случае, если операции по расходам получателей средств бюджета субъекта Российской Федерации, в целях софинансирования которых предоставляется Иной межбюджетный трансферт, учитываются на лицевых счетах, открытых в финансовом органе субъекта Российской Федерации.</w:t>
      </w:r>
    </w:p>
    <w:bookmarkStart w:id="523" w:name="P523"/>
    <w:bookmarkEnd w:id="523"/>
    <w:p>
      <w:pPr>
        <w:pStyle w:val="0"/>
        <w:spacing w:before="200" w:lineRule="auto"/>
        <w:ind w:firstLine="540"/>
        <w:jc w:val="both"/>
      </w:pPr>
      <w:r>
        <w:rPr>
          <w:sz w:val="20"/>
        </w:rPr>
        <w:t xml:space="preserve">&lt;27&gt; </w:t>
      </w:r>
      <w:hyperlink w:history="0" w:anchor="P261" w:tooltip="    3.3.1.2.        на        перечисление        Иного       межбюджетного">
        <w:r>
          <w:rPr>
            <w:sz w:val="20"/>
            <w:color w:val="0000ff"/>
          </w:rPr>
          <w:t xml:space="preserve">Пункт 3.3.1.2</w:t>
        </w:r>
      </w:hyperlink>
      <w:r>
        <w:rPr>
          <w:sz w:val="20"/>
        </w:rPr>
        <w:t xml:space="preserve"> предусматривается в случае, если перечисление Иного межбюджетного трансферта осуществляется на счет, указанный в </w:t>
      </w:r>
      <w:hyperlink w:history="0" w:anchor="P236" w:tooltip="    3.3.  Перечисление  Иного  межбюджетного  трансферта   из  федерального">
        <w:r>
          <w:rPr>
            <w:sz w:val="20"/>
            <w:color w:val="0000ff"/>
          </w:rPr>
          <w:t xml:space="preserve">подпункте "б" пункта 3.3</w:t>
        </w:r>
      </w:hyperlink>
      <w:r>
        <w:rPr>
          <w:sz w:val="20"/>
        </w:rPr>
        <w:t xml:space="preserve"> настоящей Типовой формы соглашения, а также если полномочия по перечислению Иного межбюджетного трансферта не переданы Федеральному казначейству. Условие об одновременном представлении документов, подтверждающих исполнение условия предоставления Иного межбюджетного трансферта, указанного в </w:t>
      </w:r>
      <w:hyperlink w:history="0" w:anchor="P230" w:tooltip="    в) наличие   документов,   подтверждающих   фактически   осуществленные">
        <w:r>
          <w:rPr>
            <w:sz w:val="20"/>
            <w:color w:val="0000ff"/>
          </w:rPr>
          <w:t xml:space="preserve">подпункте "в" пункта 3.2</w:t>
        </w:r>
      </w:hyperlink>
      <w:r>
        <w:rPr>
          <w:sz w:val="20"/>
        </w:rPr>
        <w:t xml:space="preserve"> настоящей Типовой формы соглашения, предусматривается в соглашении в случае, если Правилами предоставления иных межбюджетных трансфертов данное условие предусмотрено.</w:t>
      </w:r>
    </w:p>
    <w:bookmarkStart w:id="524" w:name="P524"/>
    <w:bookmarkEnd w:id="524"/>
    <w:p>
      <w:pPr>
        <w:pStyle w:val="0"/>
        <w:spacing w:before="200" w:lineRule="auto"/>
        <w:ind w:firstLine="540"/>
        <w:jc w:val="both"/>
      </w:pPr>
      <w:r>
        <w:rPr>
          <w:sz w:val="20"/>
        </w:rPr>
        <w:t xml:space="preserve">&lt;28&gt; </w:t>
      </w:r>
      <w:hyperlink w:history="0" w:anchor="P270" w:tooltip="    3.3.2.1. после проверки _______________________________________________">
        <w:r>
          <w:rPr>
            <w:sz w:val="20"/>
            <w:color w:val="0000ff"/>
          </w:rPr>
          <w:t xml:space="preserve">Пункт 3.3.2.1</w:t>
        </w:r>
      </w:hyperlink>
      <w:r>
        <w:rPr>
          <w:sz w:val="20"/>
        </w:rPr>
        <w:t xml:space="preserve"> предусматривается в случае наличия в соглашении условий, предусмотренных </w:t>
      </w:r>
      <w:hyperlink w:history="0" w:anchor="P261" w:tooltip="    3.3.1.2.        на        перечисление        Иного       межбюджетного">
        <w:r>
          <w:rPr>
            <w:sz w:val="20"/>
            <w:color w:val="0000ff"/>
          </w:rPr>
          <w:t xml:space="preserve">пунктом 3.3.1.2</w:t>
        </w:r>
      </w:hyperlink>
      <w:r>
        <w:rPr>
          <w:sz w:val="20"/>
        </w:rPr>
        <w:t xml:space="preserve"> настоящей Типовой формы соглашения, если Правилами предоставления иных межбюджетных трансфертов предусмотрено перечисление Иного межбюджетного трансферта после проверки документов, подтверждающих осуществление расходов бюджета субъекта Российской Федерации.</w:t>
      </w:r>
    </w:p>
    <w:bookmarkStart w:id="525" w:name="P525"/>
    <w:bookmarkEnd w:id="525"/>
    <w:p>
      <w:pPr>
        <w:pStyle w:val="0"/>
        <w:spacing w:before="200" w:lineRule="auto"/>
        <w:ind w:firstLine="540"/>
        <w:jc w:val="both"/>
      </w:pPr>
      <w:r>
        <w:rPr>
          <w:sz w:val="20"/>
        </w:rPr>
        <w:t xml:space="preserve">&lt;29&gt; </w:t>
      </w:r>
      <w:hyperlink w:history="0" w:anchor="P274" w:tooltip="3.3.2.2. в доле, соответствующей уровню софинансирования расходного обязательства субъекта Российской Федерации, указанному в &lt;29&gt;:">
        <w:r>
          <w:rPr>
            <w:sz w:val="20"/>
            <w:color w:val="0000ff"/>
          </w:rPr>
          <w:t xml:space="preserve">Пункт 3.3.2.2</w:t>
        </w:r>
      </w:hyperlink>
      <w:r>
        <w:rPr>
          <w:sz w:val="20"/>
        </w:rPr>
        <w:t xml:space="preserve"> предусматривается в случае наличия в соглашении условия, предусмотренного </w:t>
      </w:r>
      <w:hyperlink w:history="0" w:anchor="P162" w:tooltip="б) исходя из выраженного в процентах от общего объема расходного обязательства субъекта Российской Федерации в целях софинансирования которого(ых) предоставляется Иной межбюджетный трансферт, уровня софинансирования, равного:">
        <w:r>
          <w:rPr>
            <w:sz w:val="20"/>
            <w:color w:val="0000ff"/>
          </w:rPr>
          <w:t xml:space="preserve">подпунктами "б"</w:t>
        </w:r>
      </w:hyperlink>
      <w:r>
        <w:rPr>
          <w:sz w:val="20"/>
        </w:rPr>
        <w:t xml:space="preserve"> или </w:t>
      </w:r>
      <w:hyperlink w:history="0" w:anchor="P172" w:tooltip="в) исходя из уровней софинансирования, выраженных в процентах от объема расходного обязательства субъекта Российской Федерации (исходя из уровня софинансирования, выраженного в процентах по каждому результату предоставления Иного межбюджетного трансферта, в том числе объекту капитального строительства государственной собственности субъекта Российской Федерации (муниципальной собственности) и (или) объекту недвижимого имущества, приобретаемому в государственную собственность субъекта Российской Федерации ...">
        <w:r>
          <w:rPr>
            <w:sz w:val="20"/>
            <w:color w:val="0000ff"/>
          </w:rPr>
          <w:t xml:space="preserve">"в" пункта 2.2</w:t>
        </w:r>
      </w:hyperlink>
      <w:r>
        <w:rPr>
          <w:sz w:val="20"/>
        </w:rPr>
        <w:t xml:space="preserve"> настоящей Типовой формы соглашения.</w:t>
      </w:r>
    </w:p>
    <w:bookmarkStart w:id="526" w:name="P526"/>
    <w:bookmarkEnd w:id="526"/>
    <w:p>
      <w:pPr>
        <w:pStyle w:val="0"/>
        <w:spacing w:before="200" w:lineRule="auto"/>
        <w:ind w:firstLine="540"/>
        <w:jc w:val="both"/>
      </w:pPr>
      <w:r>
        <w:rPr>
          <w:sz w:val="20"/>
        </w:rPr>
        <w:t xml:space="preserve">&lt;30&gt; </w:t>
      </w:r>
      <w:hyperlink w:history="0" w:anchor="P275" w:tooltip="а) подпункте &quot;б&quot; пункта 2.2 настоящего Соглашения &lt;30&gt;;">
        <w:r>
          <w:rPr>
            <w:sz w:val="20"/>
            <w:color w:val="0000ff"/>
          </w:rPr>
          <w:t xml:space="preserve">Подпункт "а" пункта 3.3.2.2</w:t>
        </w:r>
      </w:hyperlink>
      <w:r>
        <w:rPr>
          <w:sz w:val="20"/>
        </w:rPr>
        <w:t xml:space="preserve"> предусматривается в случае, если соглашение содержит условие, предусмотренное </w:t>
      </w:r>
      <w:hyperlink w:history="0" w:anchor="P162" w:tooltip="б) исходя из выраженного в процентах от общего объема расходного обязательства субъекта Российской Федерации в целях софинансирования которого(ых) предоставляется Иной межбюджетный трансферт, уровня софинансирования, равного:">
        <w:r>
          <w:rPr>
            <w:sz w:val="20"/>
            <w:color w:val="0000ff"/>
          </w:rPr>
          <w:t xml:space="preserve">подпунктом "б" пункта 2.2</w:t>
        </w:r>
      </w:hyperlink>
      <w:r>
        <w:rPr>
          <w:sz w:val="20"/>
        </w:rPr>
        <w:t xml:space="preserve"> настоящей Типовой формы соглашения.</w:t>
      </w:r>
    </w:p>
    <w:bookmarkStart w:id="527" w:name="P527"/>
    <w:bookmarkEnd w:id="527"/>
    <w:p>
      <w:pPr>
        <w:pStyle w:val="0"/>
        <w:spacing w:before="200" w:lineRule="auto"/>
        <w:ind w:firstLine="540"/>
        <w:jc w:val="both"/>
      </w:pPr>
      <w:r>
        <w:rPr>
          <w:sz w:val="20"/>
        </w:rPr>
        <w:t xml:space="preserve">&lt;31&gt; </w:t>
      </w:r>
      <w:hyperlink w:history="0" w:anchor="P276" w:tooltip="б) приложении N ____ к настоящему Соглашению, являющемся его неотъемлемой частью &lt;31&gt;.">
        <w:r>
          <w:rPr>
            <w:sz w:val="20"/>
            <w:color w:val="0000ff"/>
          </w:rPr>
          <w:t xml:space="preserve">Подпункт "б" пункта 3.3.2.2</w:t>
        </w:r>
      </w:hyperlink>
      <w:r>
        <w:rPr>
          <w:sz w:val="20"/>
        </w:rPr>
        <w:t xml:space="preserve"> предусматривается в случае, если соглашение содержит условие, предусмотренное </w:t>
      </w:r>
      <w:hyperlink w:history="0" w:anchor="P172" w:tooltip="в) исходя из уровней софинансирования, выраженных в процентах от объема расходного обязательства субъекта Российской Федерации (исходя из уровня софинансирования, выраженного в процентах по каждому результату предоставления Иного межбюджетного трансферта, в том числе объекту капитального строительства государственной собственности субъекта Российской Федерации (муниципальной собственности) и (или) объекту недвижимого имущества, приобретаемому в государственную собственность субъекта Российской Федерации ...">
        <w:r>
          <w:rPr>
            <w:sz w:val="20"/>
            <w:color w:val="0000ff"/>
          </w:rPr>
          <w:t xml:space="preserve">подпунктом "в" пункта 2.2</w:t>
        </w:r>
      </w:hyperlink>
      <w:r>
        <w:rPr>
          <w:sz w:val="20"/>
        </w:rPr>
        <w:t xml:space="preserve"> настоящей Типовой формы соглашения.</w:t>
      </w:r>
    </w:p>
    <w:bookmarkStart w:id="528" w:name="P528"/>
    <w:bookmarkEnd w:id="528"/>
    <w:p>
      <w:pPr>
        <w:pStyle w:val="0"/>
        <w:spacing w:before="200" w:lineRule="auto"/>
        <w:ind w:firstLine="540"/>
        <w:jc w:val="both"/>
      </w:pPr>
      <w:r>
        <w:rPr>
          <w:sz w:val="20"/>
        </w:rPr>
        <w:t xml:space="preserve">&lt;32&gt; </w:t>
      </w:r>
      <w:hyperlink w:history="0" w:anchor="P277" w:tooltip="3.3.3. Перечисление межбюджетного трансферта из бюджета субъекта Российской Федерации местному бюджету осуществляется при условии осуществления территориальным органом Федерального казначейства операций по перечислению соответствующего межбюджетного трансферта из бюджета субъекта Российской Федерации в местный бюджет в пределах суммы, необходимой для оплаты денежных обязательств получателя средств местного бюджета, соответствующих целям предоставления Иного межбюджетного трансферта, в доле, соответствующ...">
        <w:r>
          <w:rPr>
            <w:sz w:val="20"/>
            <w:color w:val="0000ff"/>
          </w:rPr>
          <w:t xml:space="preserve">Пункт 3.3.3</w:t>
        </w:r>
      </w:hyperlink>
      <w:r>
        <w:rPr>
          <w:sz w:val="20"/>
        </w:rPr>
        <w:t xml:space="preserve"> предусматривается в случае предоставления Иного межбюджетного трансферта в целях софинансирования расходных обязательств субъекта Российской Федерации по оказанию финансовой поддержки осуществления органами местного самоуправления полномочий по вопросам местного значения.</w:t>
      </w:r>
    </w:p>
    <w:bookmarkStart w:id="529" w:name="P529"/>
    <w:bookmarkEnd w:id="529"/>
    <w:p>
      <w:pPr>
        <w:pStyle w:val="0"/>
        <w:spacing w:before="200" w:lineRule="auto"/>
        <w:ind w:firstLine="540"/>
        <w:jc w:val="both"/>
      </w:pPr>
      <w:r>
        <w:rPr>
          <w:sz w:val="20"/>
        </w:rPr>
        <w:t xml:space="preserve">&lt;33&gt; </w:t>
      </w:r>
      <w:hyperlink w:history="0" w:anchor="P278" w:tooltip="    3.3.4.  В  течение  ____  дней  после  подписания настоящего Соглашения">
        <w:r>
          <w:rPr>
            <w:sz w:val="20"/>
            <w:color w:val="0000ff"/>
          </w:rPr>
          <w:t xml:space="preserve">Пункт 3.3.4</w:t>
        </w:r>
      </w:hyperlink>
      <w:r>
        <w:rPr>
          <w:sz w:val="20"/>
        </w:rPr>
        <w:t xml:space="preserve"> предусматривается в случае, если в соответствии с бюджетным законодательством Российской Федерации и Правилами предоставления иных межбюджетных трансфертов перечисление Иного межбюджетного трансферта осуществляется в соответствии с заявкой, представленной уполномоченным органом субъекта Российской Федерации.</w:t>
      </w:r>
    </w:p>
    <w:bookmarkStart w:id="530" w:name="P530"/>
    <w:bookmarkEnd w:id="530"/>
    <w:p>
      <w:pPr>
        <w:pStyle w:val="0"/>
        <w:spacing w:before="200" w:lineRule="auto"/>
        <w:ind w:firstLine="540"/>
        <w:jc w:val="both"/>
      </w:pPr>
      <w:r>
        <w:rPr>
          <w:sz w:val="20"/>
        </w:rPr>
        <w:t xml:space="preserve">&lt;34&gt; </w:t>
      </w:r>
      <w:hyperlink w:history="0" w:anchor="P299" w:tooltip="    4.1.3.  Осуществлять  проверку документов, подтверждающих произведенные">
        <w:r>
          <w:rPr>
            <w:sz w:val="20"/>
            <w:color w:val="0000ff"/>
          </w:rPr>
          <w:t xml:space="preserve">Пункт 4.1.3</w:t>
        </w:r>
      </w:hyperlink>
      <w:r>
        <w:rPr>
          <w:sz w:val="20"/>
        </w:rPr>
        <w:t xml:space="preserve"> предусматривается в случае, если Иной межбюджетный трансферт предоставляется на возмещение фактически осуществленных расходов бюджета субъекта Российской Федерации, перечисление Иного межбюджетного трансферта осуществляется на счет, предусмотренный в </w:t>
      </w:r>
      <w:hyperlink w:history="0" w:anchor="P236" w:tooltip="    3.3.  Перечисление  Иного  межбюджетного  трансферта   из  федерального">
        <w:r>
          <w:rPr>
            <w:sz w:val="20"/>
            <w:color w:val="0000ff"/>
          </w:rPr>
          <w:t xml:space="preserve">подпункте "б" пункта 3.3</w:t>
        </w:r>
      </w:hyperlink>
      <w:r>
        <w:rPr>
          <w:sz w:val="20"/>
        </w:rPr>
        <w:t xml:space="preserve"> настоящей Типовой формы соглашения.</w:t>
      </w:r>
    </w:p>
    <w:bookmarkStart w:id="531" w:name="P531"/>
    <w:bookmarkEnd w:id="531"/>
    <w:p>
      <w:pPr>
        <w:pStyle w:val="0"/>
        <w:spacing w:before="200" w:lineRule="auto"/>
        <w:ind w:firstLine="540"/>
        <w:jc w:val="both"/>
      </w:pPr>
      <w:r>
        <w:rPr>
          <w:sz w:val="20"/>
        </w:rPr>
        <w:t xml:space="preserve">&lt;34(1)&gt; Приложение к соглашению, указанное в </w:t>
      </w:r>
      <w:hyperlink w:history="0" w:anchor="P356" w:tooltip="4.3.3. Обеспечивать достижение значений результатов предоставления Иного межбюджетного трансферта, установленных в соответствии с приложением N ____ к настоящему Соглашению &lt;40&gt;, являющимся его неотъемлемой частью.">
        <w:r>
          <w:rPr>
            <w:sz w:val="20"/>
            <w:color w:val="0000ff"/>
          </w:rPr>
          <w:t xml:space="preserve">пункте 4.3.3</w:t>
        </w:r>
      </w:hyperlink>
      <w:r>
        <w:rPr>
          <w:sz w:val="20"/>
        </w:rPr>
        <w:t xml:space="preserve"> соглашения.</w:t>
      </w:r>
    </w:p>
    <w:bookmarkStart w:id="532" w:name="P532"/>
    <w:bookmarkEnd w:id="532"/>
    <w:p>
      <w:pPr>
        <w:pStyle w:val="0"/>
        <w:spacing w:before="200" w:lineRule="auto"/>
        <w:ind w:firstLine="540"/>
        <w:jc w:val="both"/>
      </w:pPr>
      <w:r>
        <w:rPr>
          <w:sz w:val="20"/>
        </w:rPr>
        <w:t xml:space="preserve">&lt;34(2)&gt; В случае наличия в соглашении условия, предусмотренного </w:t>
      </w:r>
      <w:hyperlink w:history="0" w:anchor="P382" w:tooltip="    4.3.9.2.   достижении   значений   результатов   предоставления   Иного">
        <w:r>
          <w:rPr>
            <w:sz w:val="20"/>
            <w:color w:val="0000ff"/>
          </w:rPr>
          <w:t xml:space="preserve">пунктом 4.3.9.2</w:t>
        </w:r>
      </w:hyperlink>
      <w:r>
        <w:rPr>
          <w:sz w:val="20"/>
        </w:rPr>
        <w:t xml:space="preserve"> настоящей Типовой формы соглашения.</w:t>
      </w:r>
    </w:p>
    <w:bookmarkStart w:id="533" w:name="P533"/>
    <w:bookmarkEnd w:id="533"/>
    <w:p>
      <w:pPr>
        <w:pStyle w:val="0"/>
        <w:spacing w:before="200" w:lineRule="auto"/>
        <w:ind w:firstLine="540"/>
        <w:jc w:val="both"/>
      </w:pPr>
      <w:r>
        <w:rPr>
          <w:sz w:val="20"/>
        </w:rPr>
        <w:t xml:space="preserve">&lt;35&gt; </w:t>
      </w:r>
      <w:hyperlink w:history="0" w:anchor="P304" w:tooltip="4.1.4. Осуществлять оценку результатов предоставления Иного межбюджетного трансферта с учетом обязательств по достижению значений результатов предоставления Иного межбюджетного трансферта, установленных в соответствии с пунктом 4.3.3 настоящего Соглашения, на основании данных отчетности, представленной Субъектом &lt;35&gt;.">
        <w:r>
          <w:rPr>
            <w:sz w:val="20"/>
            <w:color w:val="0000ff"/>
          </w:rPr>
          <w:t xml:space="preserve">Пункт 4.1.4</w:t>
        </w:r>
      </w:hyperlink>
      <w:r>
        <w:rPr>
          <w:sz w:val="20"/>
        </w:rPr>
        <w:t xml:space="preserve"> предусматривается в случаях, если Правилами предоставления иных межбюджетных трансфертов предусмотрены положения о результатах предоставления Иного межбюджетного трансферта.</w:t>
      </w:r>
    </w:p>
    <w:bookmarkStart w:id="534" w:name="P534"/>
    <w:bookmarkEnd w:id="534"/>
    <w:p>
      <w:pPr>
        <w:pStyle w:val="0"/>
        <w:spacing w:before="200" w:lineRule="auto"/>
        <w:ind w:firstLine="540"/>
        <w:jc w:val="both"/>
      </w:pPr>
      <w:r>
        <w:rPr>
          <w:sz w:val="20"/>
        </w:rPr>
        <w:t xml:space="preserve">&lt;35.1&gt; Условие о возврате средств в федеральный бюджет в случае нарушения обязательства по обеспечению соблюдения сроков достижения контрольных точек строительства включается в соглашение в случае предоставления Иного межбюджетного трансферта в целях софинансирования расходных обязательств субъекта Российской Федерации, возникающих при осуществлении капитальных вложений в объекты капитального строительства (объекты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bookmarkStart w:id="535" w:name="P535"/>
    <w:bookmarkEnd w:id="535"/>
    <w:p>
      <w:pPr>
        <w:pStyle w:val="0"/>
        <w:spacing w:before="200" w:lineRule="auto"/>
        <w:ind w:firstLine="540"/>
        <w:jc w:val="both"/>
      </w:pPr>
      <w:r>
        <w:rPr>
          <w:sz w:val="20"/>
        </w:rPr>
        <w:t xml:space="preserve">&lt;36&gt; </w:t>
      </w:r>
      <w:hyperlink w:history="0" w:anchor="P305" w:tooltip="    4.1.5.  В  случае  если  Субъектом  по  состоянию  на  31  декабря года">
        <w:r>
          <w:rPr>
            <w:sz w:val="20"/>
            <w:color w:val="0000ff"/>
          </w:rPr>
          <w:t xml:space="preserve">Пункт 4.1.5</w:t>
        </w:r>
      </w:hyperlink>
      <w:r>
        <w:rPr>
          <w:sz w:val="20"/>
        </w:rPr>
        <w:t xml:space="preserve"> предусматривается, если положения о возврате средств Иного межбюджетного трансферта в случае нарушений обязательств по достижению результатов предоставления Иного межбюджетного трансферта и по обеспечению соблюдения сроков достижения контрольных точек строительства предусмотрены Правилами предоставления иных межбюджетных трансфертов и при наличии в соглашении условия, предусмотренного </w:t>
      </w:r>
      <w:hyperlink w:history="0" w:anchor="P304" w:tooltip="4.1.4. Осуществлять оценку результатов предоставления Иного межбюджетного трансферта с учетом обязательств по достижению значений результатов предоставления Иного межбюджетного трансферта, установленных в соответствии с пунктом 4.3.3 настоящего Соглашения, на основании данных отчетности, представленной Субъектом &lt;35&gt;.">
        <w:r>
          <w:rPr>
            <w:sz w:val="20"/>
            <w:color w:val="0000ff"/>
          </w:rPr>
          <w:t xml:space="preserve">пунктом 4.1.4</w:t>
        </w:r>
      </w:hyperlink>
      <w:r>
        <w:rPr>
          <w:sz w:val="20"/>
        </w:rPr>
        <w:t xml:space="preserve"> настоящей Типовой формы соглашения.</w:t>
      </w:r>
    </w:p>
    <w:p>
      <w:pPr>
        <w:pStyle w:val="0"/>
        <w:jc w:val="both"/>
      </w:pPr>
      <w:r>
        <w:rPr>
          <w:sz w:val="20"/>
        </w:rPr>
        <w:t xml:space="preserve">(в ред. </w:t>
      </w:r>
      <w:hyperlink w:history="0" r:id="rId34" w:tooltip="Приказ Минфина России от 06.12.2023 N 193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КонсультантПлюс}">
        <w:r>
          <w:rPr>
            <w:sz w:val="20"/>
            <w:color w:val="0000ff"/>
          </w:rPr>
          <w:t xml:space="preserve">Приказа</w:t>
        </w:r>
      </w:hyperlink>
      <w:r>
        <w:rPr>
          <w:sz w:val="20"/>
        </w:rPr>
        <w:t xml:space="preserve"> Минфина России от 06.12.2023 N 193н)</w:t>
      </w:r>
    </w:p>
    <w:bookmarkStart w:id="537" w:name="P537"/>
    <w:bookmarkEnd w:id="537"/>
    <w:p>
      <w:pPr>
        <w:pStyle w:val="0"/>
        <w:spacing w:before="200" w:lineRule="auto"/>
        <w:ind w:firstLine="540"/>
        <w:jc w:val="both"/>
      </w:pPr>
      <w:r>
        <w:rPr>
          <w:sz w:val="20"/>
        </w:rPr>
        <w:t xml:space="preserve">&lt;37&gt; В соглашении могут быть указаны иные конкретные обязанности в случае, если это предусмотрено Правилами предоставления иных межбюджетных трансфертов, иными нормативными правовыми актами Российской Федерации, регулирующими бюджетные правоотношения по предоставлению иных межбюджетных трансфертов, имеющих целевое назначение, из федерального бюджета бюджетам субъектов Российской Федерации.</w:t>
      </w:r>
    </w:p>
    <w:bookmarkStart w:id="538" w:name="P538"/>
    <w:bookmarkEnd w:id="538"/>
    <w:p>
      <w:pPr>
        <w:pStyle w:val="0"/>
        <w:spacing w:before="200" w:lineRule="auto"/>
        <w:ind w:firstLine="540"/>
        <w:jc w:val="both"/>
      </w:pPr>
      <w:r>
        <w:rPr>
          <w:sz w:val="20"/>
        </w:rPr>
        <w:t xml:space="preserve">&lt;38&gt; В соглашении могут быть указаны иные конкретные права в случае, если это предусмотрено Правилами предоставления иных межбюджетных трансфертов, иными нормативными правовыми актами Российской Федерации, регулирующими бюджетные правоотношения по предоставлению иных межбюджетных трансфертов, имеющих целевое назначение, из федерального бюджета бюджетам субъектов Российской Федерации.</w:t>
      </w:r>
    </w:p>
    <w:bookmarkStart w:id="539" w:name="P539"/>
    <w:bookmarkEnd w:id="539"/>
    <w:p>
      <w:pPr>
        <w:pStyle w:val="0"/>
        <w:spacing w:before="200" w:lineRule="auto"/>
        <w:ind w:firstLine="540"/>
        <w:jc w:val="both"/>
      </w:pPr>
      <w:r>
        <w:rPr>
          <w:sz w:val="20"/>
        </w:rPr>
        <w:t xml:space="preserve">&lt;39&gt; </w:t>
      </w:r>
      <w:hyperlink w:history="0" w:anchor="P348" w:tooltip="    4.3.2.           Обеспечивать           исполнение           требований">
        <w:r>
          <w:rPr>
            <w:sz w:val="20"/>
            <w:color w:val="0000ff"/>
          </w:rPr>
          <w:t xml:space="preserve">Пункт 4.3.2</w:t>
        </w:r>
      </w:hyperlink>
      <w:r>
        <w:rPr>
          <w:sz w:val="20"/>
        </w:rPr>
        <w:t xml:space="preserve"> предусматривается при наличии в соглашении условия, предусмотренного </w:t>
      </w:r>
      <w:hyperlink w:history="0" w:anchor="P305" w:tooltip="    4.1.5.  В  случае  если  Субъектом  по  состоянию  на  31  декабря года">
        <w:r>
          <w:rPr>
            <w:sz w:val="20"/>
            <w:color w:val="0000ff"/>
          </w:rPr>
          <w:t xml:space="preserve">пунктом 4.1.5</w:t>
        </w:r>
      </w:hyperlink>
      <w:r>
        <w:rPr>
          <w:sz w:val="20"/>
        </w:rPr>
        <w:t xml:space="preserve"> настоящей Типовой формы соглашения.</w:t>
      </w:r>
    </w:p>
    <w:bookmarkStart w:id="540" w:name="P540"/>
    <w:bookmarkEnd w:id="540"/>
    <w:p>
      <w:pPr>
        <w:pStyle w:val="0"/>
        <w:spacing w:before="200" w:lineRule="auto"/>
        <w:ind w:firstLine="540"/>
        <w:jc w:val="both"/>
      </w:pPr>
      <w:r>
        <w:rPr>
          <w:sz w:val="20"/>
        </w:rPr>
        <w:t xml:space="preserve">&lt;40&gt; </w:t>
      </w:r>
      <w:hyperlink w:history="0" w:anchor="P356" w:tooltip="4.3.3. Обеспечивать достижение значений результатов предоставления Иного межбюджетного трансферта, установленных в соответствии с приложением N ____ к настоящему Соглашению &lt;40&gt;, являющимся его неотъемлемой частью.">
        <w:r>
          <w:rPr>
            <w:sz w:val="20"/>
            <w:color w:val="0000ff"/>
          </w:rPr>
          <w:t xml:space="preserve">Пункт 4.3.3</w:t>
        </w:r>
      </w:hyperlink>
      <w:r>
        <w:rPr>
          <w:sz w:val="20"/>
        </w:rPr>
        <w:t xml:space="preserve"> предусматривается при наличии в соглашении условия, предусмотренного </w:t>
      </w:r>
      <w:hyperlink w:history="0" w:anchor="P304" w:tooltip="4.1.4. Осуществлять оценку результатов предоставления Иного межбюджетного трансферта с учетом обязательств по достижению значений результатов предоставления Иного межбюджетного трансферта, установленных в соответствии с пунктом 4.3.3 настоящего Соглашения, на основании данных отчетности, представленной Субъектом &lt;35&gt;.">
        <w:r>
          <w:rPr>
            <w:sz w:val="20"/>
            <w:color w:val="0000ff"/>
          </w:rPr>
          <w:t xml:space="preserve">пунктом 4.1.4</w:t>
        </w:r>
      </w:hyperlink>
      <w:r>
        <w:rPr>
          <w:sz w:val="20"/>
        </w:rPr>
        <w:t xml:space="preserve"> настоящей Типовой формы соглашения. Приложение, указанное в </w:t>
      </w:r>
      <w:hyperlink w:history="0" w:anchor="P356" w:tooltip="4.3.3. Обеспечивать достижение значений результатов предоставления Иного межбюджетного трансферта, установленных в соответствии с приложением N ____ к настоящему Соглашению &lt;40&gt;, являющимся его неотъемлемой частью.">
        <w:r>
          <w:rPr>
            <w:sz w:val="20"/>
            <w:color w:val="0000ff"/>
          </w:rPr>
          <w:t xml:space="preserve">пункте 4.3.3</w:t>
        </w:r>
      </w:hyperlink>
      <w:r>
        <w:rPr>
          <w:sz w:val="20"/>
        </w:rPr>
        <w:t xml:space="preserve">, оформляется в соответствии с </w:t>
      </w:r>
      <w:hyperlink w:history="0" w:anchor="P962" w:tooltip="    Значения результатов предоставления Иного межбюджетного трансферта">
        <w:r>
          <w:rPr>
            <w:sz w:val="20"/>
            <w:color w:val="0000ff"/>
          </w:rPr>
          <w:t xml:space="preserve">приложением N 2</w:t>
        </w:r>
      </w:hyperlink>
      <w:r>
        <w:rPr>
          <w:sz w:val="20"/>
        </w:rPr>
        <w:t xml:space="preserve"> к настоящей Типовой форме соглашения.</w:t>
      </w:r>
    </w:p>
    <w:bookmarkStart w:id="541" w:name="P541"/>
    <w:bookmarkEnd w:id="541"/>
    <w:p>
      <w:pPr>
        <w:pStyle w:val="0"/>
        <w:spacing w:before="200" w:lineRule="auto"/>
        <w:ind w:firstLine="540"/>
        <w:jc w:val="both"/>
      </w:pPr>
      <w:r>
        <w:rPr>
          <w:sz w:val="20"/>
        </w:rPr>
        <w:t xml:space="preserve">&lt;41&gt; Включается в соглашение в случае, если Правилами предоставления иных межбюджетных трансфертов предусмотрено предоставление Иного межбюджетного трансферта в целях софинансирования расходных обязательств субъекта Российской Федерации, возникающих при осуществлении капитальных вложений в объекты капитального строительства (объекты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bookmarkStart w:id="542" w:name="P542"/>
    <w:bookmarkEnd w:id="542"/>
    <w:p>
      <w:pPr>
        <w:pStyle w:val="0"/>
        <w:spacing w:before="200" w:lineRule="auto"/>
        <w:ind w:firstLine="540"/>
        <w:jc w:val="both"/>
      </w:pPr>
      <w:r>
        <w:rPr>
          <w:sz w:val="20"/>
        </w:rPr>
        <w:t xml:space="preserve">&lt;42&gt; </w:t>
      </w:r>
      <w:hyperlink w:history="0" w:anchor="P358" w:tooltip="4.3.5. Обеспечивать использование типовой проектной документации (при наличии такой документации) &lt;42&gt;.">
        <w:r>
          <w:rPr>
            <w:sz w:val="20"/>
            <w:color w:val="0000ff"/>
          </w:rPr>
          <w:t xml:space="preserve">Пункт 4.3.5</w:t>
        </w:r>
      </w:hyperlink>
      <w:r>
        <w:rPr>
          <w:sz w:val="20"/>
        </w:rPr>
        <w:t xml:space="preserve"> предусматривается для Иного межбюджетного трансферта, предоставляемого в целях софинансирования расходных обязательств субъекта Российской Федерации по строительству объектов капитального строительства, если данное условие предусмотрено Правилами предоставления иных межбюджетных трансфертов.</w:t>
      </w:r>
    </w:p>
    <w:bookmarkStart w:id="543" w:name="P543"/>
    <w:bookmarkEnd w:id="543"/>
    <w:p>
      <w:pPr>
        <w:pStyle w:val="0"/>
        <w:spacing w:before="200" w:lineRule="auto"/>
        <w:ind w:firstLine="540"/>
        <w:jc w:val="both"/>
      </w:pPr>
      <w:r>
        <w:rPr>
          <w:sz w:val="20"/>
        </w:rPr>
        <w:t xml:space="preserve">&lt;43&gt; </w:t>
      </w:r>
      <w:hyperlink w:history="0" w:anchor="P359" w:tooltip="4.3.6. Обеспечивать формирование и ведение реестра получателей выплат &lt;43&gt;.">
        <w:r>
          <w:rPr>
            <w:sz w:val="20"/>
            <w:color w:val="0000ff"/>
          </w:rPr>
          <w:t xml:space="preserve">Пункт 4.3.6</w:t>
        </w:r>
      </w:hyperlink>
      <w:r>
        <w:rPr>
          <w:sz w:val="20"/>
        </w:rPr>
        <w:t xml:space="preserve"> предусматривается для Иного межбюджетного трансферта, предоставляемого в целях софинансирования расходных обязательств субъекта Российской Федерации по исполнению публичных нормативных обязательств субъектов Российской Федерации, если Правилами предоставления иных межбюджетных трансфертов предусмотрено данное условие.</w:t>
      </w:r>
    </w:p>
    <w:bookmarkStart w:id="544" w:name="P544"/>
    <w:bookmarkEnd w:id="544"/>
    <w:p>
      <w:pPr>
        <w:pStyle w:val="0"/>
        <w:spacing w:before="200" w:lineRule="auto"/>
        <w:ind w:firstLine="540"/>
        <w:jc w:val="both"/>
      </w:pPr>
      <w:r>
        <w:rPr>
          <w:sz w:val="20"/>
        </w:rPr>
        <w:t xml:space="preserve">&lt;44&gt; </w:t>
      </w:r>
      <w:hyperlink w:history="0" w:anchor="P360" w:tooltip="4.3.7. Обеспечивать выполнение установленных требований к качеству и доступности предоставляемых государственных и (или) муниципальных услуг &lt;44&gt;.">
        <w:r>
          <w:rPr>
            <w:sz w:val="20"/>
            <w:color w:val="0000ff"/>
          </w:rPr>
          <w:t xml:space="preserve">Пункт 4.3.7</w:t>
        </w:r>
      </w:hyperlink>
      <w:r>
        <w:rPr>
          <w:sz w:val="20"/>
        </w:rPr>
        <w:t xml:space="preserve"> предусматривается для Иного межбюджетного трансферта, предоставляемого в целях софинансирования расходных обязательств субъекта Российской Федерации по оказанию государственных и (или) муниципальных услуг, если Правилами предоставления иных межбюджетных трансфертов предусмотрено данное условие.</w:t>
      </w:r>
    </w:p>
    <w:bookmarkStart w:id="545" w:name="P545"/>
    <w:bookmarkEnd w:id="545"/>
    <w:p>
      <w:pPr>
        <w:pStyle w:val="0"/>
        <w:spacing w:before="200" w:lineRule="auto"/>
        <w:ind w:firstLine="540"/>
        <w:jc w:val="both"/>
      </w:pPr>
      <w:r>
        <w:rPr>
          <w:sz w:val="20"/>
        </w:rPr>
        <w:t xml:space="preserve">&lt;45&gt; </w:t>
      </w:r>
      <w:hyperlink w:history="0" w:anchor="P361" w:tooltip="    4.3.8.     Обеспечивать    согласование    с    субъектом    бюджетного">
        <w:r>
          <w:rPr>
            <w:sz w:val="20"/>
            <w:color w:val="0000ff"/>
          </w:rPr>
          <w:t xml:space="preserve">Пункт 4.3.8</w:t>
        </w:r>
      </w:hyperlink>
      <w:r>
        <w:rPr>
          <w:sz w:val="20"/>
        </w:rPr>
        <w:t xml:space="preserve"> предусматривается в случае, если такое обязательство предусмотрено Правилами предоставления иных межбюджетных трансфертов.</w:t>
      </w:r>
    </w:p>
    <w:bookmarkStart w:id="546" w:name="P546"/>
    <w:bookmarkEnd w:id="546"/>
    <w:p>
      <w:pPr>
        <w:pStyle w:val="0"/>
        <w:spacing w:before="200" w:lineRule="auto"/>
        <w:ind w:firstLine="540"/>
        <w:jc w:val="both"/>
      </w:pPr>
      <w:r>
        <w:rPr>
          <w:sz w:val="20"/>
        </w:rPr>
        <w:t xml:space="preserve">&lt;46&gt; В части сведений, не составляющих государственную тайну, и (или) сведений, доступ к которым не ограничен в соответствии с федеральными законами, нормативными правовыми актами Президента Российской Федерации и Правительства Российской Федерации. В случае наличия в отчетности таких сведений отчет представляется в форме документа на бумажном носителе.</w:t>
      </w:r>
    </w:p>
    <w:bookmarkStart w:id="547" w:name="P547"/>
    <w:bookmarkEnd w:id="547"/>
    <w:p>
      <w:pPr>
        <w:pStyle w:val="0"/>
        <w:spacing w:before="200" w:lineRule="auto"/>
        <w:ind w:firstLine="540"/>
        <w:jc w:val="both"/>
      </w:pPr>
      <w:r>
        <w:rPr>
          <w:sz w:val="20"/>
        </w:rPr>
        <w:t xml:space="preserve">&lt;47&gt; Оформляется в соответствии с </w:t>
      </w:r>
      <w:hyperlink w:history="0" w:anchor="P1257" w:tooltip="                                   ОТЧЕТ">
        <w:r>
          <w:rPr>
            <w:sz w:val="20"/>
            <w:color w:val="0000ff"/>
          </w:rPr>
          <w:t xml:space="preserve">приложением N 8</w:t>
        </w:r>
      </w:hyperlink>
      <w:r>
        <w:rPr>
          <w:sz w:val="20"/>
        </w:rPr>
        <w:t xml:space="preserve"> к настоящей Типовой форме соглашения. Включается в случае наличия в соглашении условия, предусмотренного </w:t>
      </w:r>
      <w:hyperlink w:history="0" w:anchor="P240" w:tooltip="    а) единый счет _______________________________________________________,">
        <w:r>
          <w:rPr>
            <w:sz w:val="20"/>
            <w:color w:val="0000ff"/>
          </w:rPr>
          <w:t xml:space="preserve">подпунктом "а" пункта 3.3</w:t>
        </w:r>
      </w:hyperlink>
      <w:r>
        <w:rPr>
          <w:sz w:val="20"/>
        </w:rPr>
        <w:t xml:space="preserve"> настоящей Типовой формы соглашения.</w:t>
      </w:r>
    </w:p>
    <w:bookmarkStart w:id="548" w:name="P548"/>
    <w:bookmarkEnd w:id="548"/>
    <w:p>
      <w:pPr>
        <w:pStyle w:val="0"/>
        <w:spacing w:before="200" w:lineRule="auto"/>
        <w:ind w:firstLine="540"/>
        <w:jc w:val="both"/>
      </w:pPr>
      <w:r>
        <w:rPr>
          <w:sz w:val="20"/>
        </w:rPr>
        <w:t xml:space="preserve">&lt;48&gt; </w:t>
      </w:r>
      <w:hyperlink w:history="0" w:anchor="P382" w:tooltip="    4.3.9.2.   достижении   значений   результатов   предоставления   Иного">
        <w:r>
          <w:rPr>
            <w:sz w:val="20"/>
            <w:color w:val="0000ff"/>
          </w:rPr>
          <w:t xml:space="preserve">Подпункт 4.3.9.2 пункта 4.3.9</w:t>
        </w:r>
      </w:hyperlink>
      <w:r>
        <w:rPr>
          <w:sz w:val="20"/>
        </w:rPr>
        <w:t xml:space="preserve"> предусматривается в случае, если Правилами предоставления иных межбюджетных трансфертов предусмотрены положения о результатах предоставления Иного межбюджетного трансферта. Отчет о достижении значений результатов предоставления Иного межбюджетного трансферта оформляется в соответствии с </w:t>
      </w:r>
      <w:hyperlink w:history="0" w:anchor="P1502" w:tooltip="                                   Отчет">
        <w:r>
          <w:rPr>
            <w:sz w:val="20"/>
            <w:color w:val="0000ff"/>
          </w:rPr>
          <w:t xml:space="preserve">приложением N 9</w:t>
        </w:r>
      </w:hyperlink>
      <w:r>
        <w:rPr>
          <w:sz w:val="20"/>
        </w:rPr>
        <w:t xml:space="preserve"> к настоящей Типовой форме соглашения.</w:t>
      </w:r>
    </w:p>
    <w:p>
      <w:pPr>
        <w:pStyle w:val="0"/>
        <w:spacing w:before="200" w:lineRule="auto"/>
        <w:ind w:firstLine="540"/>
        <w:jc w:val="both"/>
      </w:pPr>
      <w:r>
        <w:rPr>
          <w:sz w:val="20"/>
        </w:rPr>
        <w:t xml:space="preserve">&lt;49&gt; Сноска исключена.</w:t>
      </w:r>
    </w:p>
    <w:bookmarkStart w:id="550" w:name="P550"/>
    <w:bookmarkEnd w:id="550"/>
    <w:p>
      <w:pPr>
        <w:pStyle w:val="0"/>
        <w:spacing w:before="200" w:lineRule="auto"/>
        <w:ind w:firstLine="540"/>
        <w:jc w:val="both"/>
      </w:pPr>
      <w:r>
        <w:rPr>
          <w:sz w:val="20"/>
        </w:rPr>
        <w:t xml:space="preserve">&lt;49.1&gt; Включается в случае, если соглашение содержит условие, предусмотренное </w:t>
      </w:r>
      <w:hyperlink w:history="0" w:anchor="P357" w:tooltip="4.3.4. Обеспечивать соблюдение сроков достижения контрольных точек строительства &lt;41&gt;.">
        <w:r>
          <w:rPr>
            <w:sz w:val="20"/>
            <w:color w:val="0000ff"/>
          </w:rPr>
          <w:t xml:space="preserve">пунктом 4.3.4</w:t>
        </w:r>
      </w:hyperlink>
      <w:r>
        <w:rPr>
          <w:sz w:val="20"/>
        </w:rPr>
        <w:t xml:space="preserve"> настоящей Типовой формы соглашения.</w:t>
      </w:r>
    </w:p>
    <w:bookmarkStart w:id="551" w:name="P551"/>
    <w:bookmarkEnd w:id="551"/>
    <w:p>
      <w:pPr>
        <w:pStyle w:val="0"/>
        <w:spacing w:before="200" w:lineRule="auto"/>
        <w:ind w:firstLine="540"/>
        <w:jc w:val="both"/>
      </w:pPr>
      <w:r>
        <w:rPr>
          <w:sz w:val="20"/>
        </w:rPr>
        <w:t xml:space="preserve">&lt;50&gt; В соглашении могут быть указаны иные конкретные права в случае, если это предусмотрено Правилами предоставления иных межбюджетных трансфертов, иными нормативными правовыми актами Российской Федерации, регулирующими бюджетные правоотношения по предоставлению иных межбюджетных трансфертов, имеющих целевое назначение, из федерального бюджета бюджетам субъектов Российской Федерации.</w:t>
      </w:r>
    </w:p>
    <w:bookmarkStart w:id="552" w:name="P552"/>
    <w:bookmarkEnd w:id="552"/>
    <w:p>
      <w:pPr>
        <w:pStyle w:val="0"/>
        <w:spacing w:before="200" w:lineRule="auto"/>
        <w:ind w:firstLine="540"/>
        <w:jc w:val="both"/>
      </w:pPr>
      <w:r>
        <w:rPr>
          <w:sz w:val="20"/>
        </w:rPr>
        <w:t xml:space="preserve">&lt;50.1&gt; В соответствии с </w:t>
      </w:r>
      <w:hyperlink w:history="0" r:id="rId35" w:tooltip="&quot;Бюджетный кодекс Российской Федерации&quot; от 31.07.1998 N 145-ФЗ (ред. от 31.07.2025) {КонсультантПлюс}">
        <w:r>
          <w:rPr>
            <w:sz w:val="20"/>
            <w:color w:val="0000ff"/>
          </w:rPr>
          <w:t xml:space="preserve">пунктом 5 статьи 242</w:t>
        </w:r>
      </w:hyperlink>
      <w:r>
        <w:rPr>
          <w:sz w:val="20"/>
        </w:rPr>
        <w:t xml:space="preserve"> Бюджетного кодекса Российской Федерации (Собрание законодательства Российской Федерации, 1998, N 31, ст. 3823; 2019, N 52, ст. 7797).</w:t>
      </w:r>
    </w:p>
    <w:bookmarkStart w:id="553" w:name="P553"/>
    <w:bookmarkEnd w:id="553"/>
    <w:p>
      <w:pPr>
        <w:pStyle w:val="0"/>
        <w:spacing w:before="200" w:lineRule="auto"/>
        <w:ind w:firstLine="540"/>
        <w:jc w:val="both"/>
      </w:pPr>
      <w:r>
        <w:rPr>
          <w:sz w:val="20"/>
        </w:rPr>
        <w:t xml:space="preserve">&lt;51&gt; Иные условия предоставления Иного межбюджетного трансферта, за исключением указанных в </w:t>
      </w:r>
      <w:hyperlink w:history="0" w:anchor="P218" w:tooltip="3.2. Иной межбюджетный трансферт предоставляется при выполнении следующих условий &lt;15&gt;:">
        <w:r>
          <w:rPr>
            <w:sz w:val="20"/>
            <w:color w:val="0000ff"/>
          </w:rPr>
          <w:t xml:space="preserve">пункте 3.2</w:t>
        </w:r>
      </w:hyperlink>
      <w:r>
        <w:rPr>
          <w:sz w:val="20"/>
        </w:rPr>
        <w:t xml:space="preserve"> настоящей Типовой формы соглашения, предусмотренные Правилами предоставления иных межбюджетных трансфертов, в том числе регулирующие порядок предоставления Иных межбюджетных трансфертов, включаются исключительно в </w:t>
      </w:r>
      <w:hyperlink w:history="0" w:anchor="P421" w:tooltip="VI. Иные условия &lt;51&gt;">
        <w:r>
          <w:rPr>
            <w:sz w:val="20"/>
            <w:color w:val="0000ff"/>
          </w:rPr>
          <w:t xml:space="preserve">главу VI</w:t>
        </w:r>
      </w:hyperlink>
      <w:r>
        <w:rPr>
          <w:sz w:val="20"/>
        </w:rPr>
        <w:t xml:space="preserve"> соглашения.</w:t>
      </w:r>
    </w:p>
    <w:bookmarkStart w:id="554" w:name="P554"/>
    <w:bookmarkEnd w:id="554"/>
    <w:p>
      <w:pPr>
        <w:pStyle w:val="0"/>
        <w:spacing w:before="200" w:lineRule="auto"/>
        <w:ind w:firstLine="540"/>
        <w:jc w:val="both"/>
      </w:pPr>
      <w:r>
        <w:rPr>
          <w:sz w:val="20"/>
        </w:rPr>
        <w:t xml:space="preserve">&lt;52&gt; Указывается орган или органы исполнительной власти субъекта Российской Федерации, уполномоченные высшим исполнительным органом субъекта Российской Федерации выступать от имени Субъекта при реализации соглашения в случае, если стороной соглашения является высший исполнительный орган субъекта Российской Федерации.</w:t>
      </w:r>
    </w:p>
    <w:bookmarkStart w:id="555" w:name="P555"/>
    <w:bookmarkEnd w:id="555"/>
    <w:p>
      <w:pPr>
        <w:pStyle w:val="0"/>
        <w:spacing w:before="200" w:lineRule="auto"/>
        <w:ind w:firstLine="540"/>
        <w:jc w:val="both"/>
      </w:pPr>
      <w:r>
        <w:rPr>
          <w:sz w:val="20"/>
        </w:rPr>
        <w:t xml:space="preserve">&lt;52.1&gt; В соответствии с </w:t>
      </w:r>
      <w:hyperlink w:history="0" r:id="rId36" w:tooltip="&quot;Бюджетный кодекс Российской Федерации&quot; от 31.07.1998 N 145-ФЗ (ред. от 31.07.2025) {КонсультантПлюс}">
        <w:r>
          <w:rPr>
            <w:sz w:val="20"/>
            <w:color w:val="0000ff"/>
          </w:rPr>
          <w:t xml:space="preserve">абзацем четырнадцатым пункта 1 статьи 166.1</w:t>
        </w:r>
      </w:hyperlink>
      <w:r>
        <w:rPr>
          <w:sz w:val="20"/>
        </w:rPr>
        <w:t xml:space="preserve"> Бюджетного кодекса Российской Федерации.</w:t>
      </w:r>
    </w:p>
    <w:bookmarkStart w:id="556" w:name="P556"/>
    <w:bookmarkEnd w:id="556"/>
    <w:p>
      <w:pPr>
        <w:pStyle w:val="0"/>
        <w:spacing w:before="200" w:lineRule="auto"/>
        <w:ind w:firstLine="540"/>
        <w:jc w:val="both"/>
      </w:pPr>
      <w:r>
        <w:rPr>
          <w:sz w:val="20"/>
        </w:rPr>
        <w:t xml:space="preserve">&lt;53&gt; Дополнительное соглашение к соглашению заключается в соответствии с </w:t>
      </w:r>
      <w:hyperlink w:history="0" w:anchor="P2358" w:tooltip="Типовая форма дополнительного соглашения">
        <w:r>
          <w:rPr>
            <w:sz w:val="20"/>
            <w:color w:val="0000ff"/>
          </w:rPr>
          <w:t xml:space="preserve">приложением N 13</w:t>
        </w:r>
      </w:hyperlink>
      <w:r>
        <w:rPr>
          <w:sz w:val="20"/>
        </w:rPr>
        <w:t xml:space="preserve"> к настоящей Типовой форме соглашения.</w:t>
      </w:r>
    </w:p>
    <w:bookmarkStart w:id="557" w:name="P557"/>
    <w:bookmarkEnd w:id="557"/>
    <w:p>
      <w:pPr>
        <w:pStyle w:val="0"/>
        <w:spacing w:before="200" w:lineRule="auto"/>
        <w:ind w:firstLine="540"/>
        <w:jc w:val="both"/>
      </w:pPr>
      <w:r>
        <w:rPr>
          <w:sz w:val="20"/>
        </w:rPr>
        <w:t xml:space="preserve">&lt;54&gt; Указываются наименования федерального проекта и государственной программы Российской Федерации, указанные в </w:t>
      </w:r>
      <w:hyperlink w:history="0" w:anchor="P103" w:tooltip="    1.1. Предметом    настоящего    Соглашения    является   предоставление">
        <w:r>
          <w:rPr>
            <w:sz w:val="20"/>
            <w:color w:val="0000ff"/>
          </w:rPr>
          <w:t xml:space="preserve">пункте 1.1</w:t>
        </w:r>
      </w:hyperlink>
      <w:r>
        <w:rPr>
          <w:sz w:val="20"/>
        </w:rPr>
        <w:t xml:space="preserve"> соглашения.</w:t>
      </w:r>
    </w:p>
    <w:bookmarkStart w:id="558" w:name="P558"/>
    <w:bookmarkEnd w:id="558"/>
    <w:p>
      <w:pPr>
        <w:pStyle w:val="0"/>
        <w:spacing w:before="200" w:lineRule="auto"/>
        <w:ind w:firstLine="540"/>
        <w:jc w:val="both"/>
      </w:pPr>
      <w:r>
        <w:rPr>
          <w:sz w:val="20"/>
        </w:rPr>
        <w:t xml:space="preserve">&lt;55&gt; </w:t>
      </w:r>
      <w:hyperlink w:history="0" w:anchor="P443" w:tooltip="    7.4.  Внесение  в  настоящее  Соглашение  изменений,  предусматривающих">
        <w:r>
          <w:rPr>
            <w:sz w:val="20"/>
            <w:color w:val="0000ff"/>
          </w:rPr>
          <w:t xml:space="preserve">Пункт 7.4</w:t>
        </w:r>
      </w:hyperlink>
      <w:r>
        <w:rPr>
          <w:sz w:val="20"/>
        </w:rPr>
        <w:t xml:space="preserve"> предусматривается в случае, если Правилами предоставления иных межбюджетных трансфертов предусмотрены положения о результатах предоставления Иного межбюджетного трансферта.</w:t>
      </w:r>
    </w:p>
    <w:bookmarkStart w:id="559" w:name="P559"/>
    <w:bookmarkEnd w:id="559"/>
    <w:p>
      <w:pPr>
        <w:pStyle w:val="0"/>
        <w:spacing w:before="200" w:lineRule="auto"/>
        <w:ind w:firstLine="540"/>
        <w:jc w:val="both"/>
      </w:pPr>
      <w:r>
        <w:rPr>
          <w:sz w:val="20"/>
        </w:rPr>
        <w:t xml:space="preserve">&lt;56&gt; </w:t>
      </w:r>
      <w:hyperlink w:history="0" w:anchor="P456" w:tooltip="7.5. Внесение в настоящее Соглашение изменений, предусматривающих включение в перечень объектов капитального строительства и (или) объектов недвижимого имущества, в целях софинансирования капитальных вложений в которые или на приобретение которых предоставляется Иной межбюджетный трансферт, новых объектов капитального строительства и (или) объектов недвижимого имущества, в случае уменьшения предусмотренных на 20__ год/20__ - 20__ годы объемов финансового обеспечения мероприятий по строительству (реконстр...">
        <w:r>
          <w:rPr>
            <w:sz w:val="20"/>
            <w:color w:val="0000ff"/>
          </w:rPr>
          <w:t xml:space="preserve">Пункт 7.5</w:t>
        </w:r>
      </w:hyperlink>
      <w:r>
        <w:rPr>
          <w:sz w:val="20"/>
        </w:rPr>
        <w:t xml:space="preserve"> предусматривается в случае, если Правилами предоставления иных межбюджетных трансфертов предусмотрено предоставление Иного межбюджетного трансферта на капитальные вложения в объекты капитального строительства (приобретение объектов недвижимого имущества).</w:t>
      </w:r>
    </w:p>
    <w:bookmarkStart w:id="560" w:name="P560"/>
    <w:bookmarkEnd w:id="560"/>
    <w:p>
      <w:pPr>
        <w:pStyle w:val="0"/>
        <w:spacing w:before="200" w:lineRule="auto"/>
        <w:ind w:firstLine="540"/>
        <w:jc w:val="both"/>
      </w:pPr>
      <w:r>
        <w:rPr>
          <w:sz w:val="20"/>
        </w:rPr>
        <w:t xml:space="preserve">&lt;57&gt; Дополнительное соглашение о расторжении соглашения заключается в соответствии с </w:t>
      </w:r>
      <w:hyperlink w:history="0" w:anchor="P2525" w:tooltip="Типовая форма дополнительного соглашения">
        <w:r>
          <w:rPr>
            <w:sz w:val="20"/>
            <w:color w:val="0000ff"/>
          </w:rPr>
          <w:t xml:space="preserve">приложением N 14</w:t>
        </w:r>
      </w:hyperlink>
      <w:r>
        <w:rPr>
          <w:sz w:val="20"/>
        </w:rPr>
        <w:t xml:space="preserve"> к настоящей Типовой форме соглашения.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Типовой форме соглашения</w:t>
      </w:r>
    </w:p>
    <w:p>
      <w:pPr>
        <w:pStyle w:val="0"/>
        <w:jc w:val="right"/>
      </w:pPr>
      <w:r>
        <w:rPr>
          <w:sz w:val="20"/>
        </w:rPr>
        <w:t xml:space="preserve">о предоставлении иного</w:t>
      </w:r>
    </w:p>
    <w:p>
      <w:pPr>
        <w:pStyle w:val="0"/>
        <w:jc w:val="right"/>
      </w:pPr>
      <w:r>
        <w:rPr>
          <w:sz w:val="20"/>
        </w:rPr>
        <w:t xml:space="preserve">межбюджетного трансферта,</w:t>
      </w:r>
    </w:p>
    <w:p>
      <w:pPr>
        <w:pStyle w:val="0"/>
        <w:jc w:val="right"/>
      </w:pPr>
      <w:r>
        <w:rPr>
          <w:sz w:val="20"/>
        </w:rPr>
        <w:t xml:space="preserve">имеющего целевое назначение,</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Минфина России от 08.10.2019 </w:t>
            </w:r>
            <w:hyperlink w:history="0" r:id="rId37" w:tooltip="Приказ Минфина России от 08.10.2019 N 161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22.11.2019 N 56610) {КонсультантПлюс}">
              <w:r>
                <w:rPr>
                  <w:sz w:val="20"/>
                  <w:color w:val="0000ff"/>
                </w:rPr>
                <w:t xml:space="preserve">N 161н</w:t>
              </w:r>
            </w:hyperlink>
            <w:r>
              <w:rPr>
                <w:sz w:val="20"/>
                <w:color w:val="392c69"/>
              </w:rPr>
              <w:t xml:space="preserve">,</w:t>
            </w:r>
          </w:p>
          <w:p>
            <w:pPr>
              <w:pStyle w:val="0"/>
              <w:jc w:val="center"/>
            </w:pPr>
            <w:r>
              <w:rPr>
                <w:sz w:val="20"/>
                <w:color w:val="392c69"/>
              </w:rPr>
              <w:t xml:space="preserve">от 17.07.2020 </w:t>
            </w:r>
            <w:hyperlink w:history="0" r:id="rId38" w:tooltip="Приказ Минфина России от 17.07.2020 N 143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8.08.2020 N 59307) {КонсультантПлюс}">
              <w:r>
                <w:rPr>
                  <w:sz w:val="20"/>
                  <w:color w:val="0000ff"/>
                </w:rPr>
                <w:t xml:space="preserve">N 143н</w:t>
              </w:r>
            </w:hyperlink>
            <w:r>
              <w:rPr>
                <w:sz w:val="20"/>
                <w:color w:val="392c69"/>
              </w:rPr>
              <w:t xml:space="preserve">, от 09.12.2020 </w:t>
            </w:r>
            <w:hyperlink w:history="0" r:id="rId39" w:tooltip="Приказ Минфина России от 09.12.2020 N 300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9.02.2021 N 62573) {КонсультантПлюс}">
              <w:r>
                <w:rPr>
                  <w:sz w:val="20"/>
                  <w:color w:val="0000ff"/>
                </w:rPr>
                <w:t xml:space="preserve">N 300н</w:t>
              </w:r>
            </w:hyperlink>
            <w:r>
              <w:rPr>
                <w:sz w:val="20"/>
                <w:color w:val="392c69"/>
              </w:rPr>
              <w:t xml:space="preserve">, от 24.12.2021 </w:t>
            </w:r>
            <w:hyperlink w:history="0" r:id="rId40" w:tooltip="Приказ Минфина России от 24.12.2021 N 228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 {КонсультантПлюс}">
              <w:r>
                <w:rPr>
                  <w:sz w:val="20"/>
                  <w:color w:val="0000ff"/>
                </w:rPr>
                <w:t xml:space="preserve">N 228н</w:t>
              </w:r>
            </w:hyperlink>
            <w:r>
              <w:rPr>
                <w:sz w:val="20"/>
                <w:color w:val="392c69"/>
              </w:rPr>
              <w:t xml:space="preserve">,</w:t>
            </w:r>
          </w:p>
          <w:p>
            <w:pPr>
              <w:pStyle w:val="0"/>
              <w:jc w:val="center"/>
            </w:pPr>
            <w:r>
              <w:rPr>
                <w:sz w:val="20"/>
                <w:color w:val="392c69"/>
              </w:rPr>
              <w:t xml:space="preserve">от 14.08.2023 </w:t>
            </w:r>
            <w:hyperlink w:history="0" r:id="rId41" w:tooltip="Приказ Минфина России от 14.08.2023 N 133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5.09.2023 N 75245) {КонсультантПлюс}">
              <w:r>
                <w:rPr>
                  <w:sz w:val="20"/>
                  <w:color w:val="0000ff"/>
                </w:rPr>
                <w:t xml:space="preserve">N 133н</w:t>
              </w:r>
            </w:hyperlink>
            <w:r>
              <w:rPr>
                <w:sz w:val="20"/>
                <w:color w:val="392c69"/>
              </w:rPr>
              <w:t xml:space="preserve">, от 06.12.2023 </w:t>
            </w:r>
            <w:hyperlink w:history="0" r:id="rId42" w:tooltip="Приказ Минфина России от 06.12.2023 N 193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КонсультантПлюс}">
              <w:r>
                <w:rPr>
                  <w:sz w:val="20"/>
                  <w:color w:val="0000ff"/>
                </w:rPr>
                <w:t xml:space="preserve">N 193н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jc w:val="right"/>
      </w:pPr>
      <w:r>
        <w:rPr>
          <w:sz w:val="20"/>
        </w:rPr>
        <w:t xml:space="preserve">"Приложение N ___</w:t>
      </w:r>
    </w:p>
    <w:p>
      <w:pPr>
        <w:pStyle w:val="0"/>
        <w:jc w:val="right"/>
      </w:pPr>
      <w:r>
        <w:rPr>
          <w:sz w:val="20"/>
        </w:rPr>
        <w:t xml:space="preserve">к Соглашению</w:t>
      </w:r>
    </w:p>
    <w:p>
      <w:pPr>
        <w:pStyle w:val="0"/>
        <w:jc w:val="right"/>
      </w:pPr>
      <w:r>
        <w:rPr>
          <w:sz w:val="20"/>
        </w:rPr>
        <w:t xml:space="preserve">от "__" ________ 20__ г. N ___</w:t>
      </w:r>
    </w:p>
    <w:p>
      <w:pPr>
        <w:pStyle w:val="0"/>
        <w:jc w:val="right"/>
      </w:pPr>
      <w:r>
        <w:rPr>
          <w:sz w:val="20"/>
        </w:rPr>
        <w:t xml:space="preserve">(Приложение N ___</w:t>
      </w:r>
    </w:p>
    <w:p>
      <w:pPr>
        <w:pStyle w:val="0"/>
        <w:jc w:val="right"/>
      </w:pPr>
      <w:r>
        <w:rPr>
          <w:sz w:val="20"/>
        </w:rPr>
        <w:t xml:space="preserve">к Дополнительному соглашению</w:t>
      </w:r>
    </w:p>
    <w:p>
      <w:pPr>
        <w:pStyle w:val="0"/>
        <w:jc w:val="right"/>
      </w:pPr>
      <w:r>
        <w:rPr>
          <w:sz w:val="20"/>
        </w:rPr>
        <w:t xml:space="preserve">от "__" _______ 20__ г. N ___)</w:t>
      </w:r>
    </w:p>
    <w:p>
      <w:pPr>
        <w:pStyle w:val="0"/>
        <w:jc w:val="right"/>
      </w:pPr>
      <w:r>
        <w:rPr>
          <w:sz w:val="20"/>
        </w:rPr>
      </w:r>
    </w:p>
    <w:bookmarkStart w:id="589" w:name="P589"/>
    <w:bookmarkEnd w:id="589"/>
    <w:p>
      <w:pPr>
        <w:pStyle w:val="1"/>
        <w:jc w:val="both"/>
      </w:pPr>
      <w:r>
        <w:rPr>
          <w:sz w:val="20"/>
        </w:rPr>
        <w:t xml:space="preserve">                                Информация</w:t>
      </w:r>
    </w:p>
    <w:p>
      <w:pPr>
        <w:pStyle w:val="1"/>
        <w:jc w:val="both"/>
      </w:pPr>
      <w:r>
        <w:rPr>
          <w:sz w:val="20"/>
        </w:rPr>
        <w:t xml:space="preserve">    об объемах финансового обеспечения расходных обязательств субъекта</w:t>
      </w:r>
    </w:p>
    <w:p>
      <w:pPr>
        <w:pStyle w:val="1"/>
        <w:jc w:val="both"/>
      </w:pPr>
      <w:r>
        <w:rPr>
          <w:sz w:val="20"/>
        </w:rPr>
        <w:t xml:space="preserve">       Российской Федерации, софинансируемых из федерального бюджета</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1531"/>
        <w:gridCol w:w="2097"/>
        <w:gridCol w:w="3288"/>
        <w:gridCol w:w="1303"/>
        <w:gridCol w:w="850"/>
      </w:tblGrid>
      <w:tr>
        <w:tc>
          <w:tcPr>
            <w:gridSpan w:val="3"/>
            <w:tcW w:w="6916" w:type="dxa"/>
            <w:tcBorders>
              <w:top w:val="nil"/>
              <w:left w:val="nil"/>
              <w:bottom w:val="nil"/>
              <w:right w:val="nil"/>
            </w:tcBorders>
          </w:tcPr>
          <w:p>
            <w:pPr>
              <w:pStyle w:val="0"/>
            </w:pPr>
            <w:r>
              <w:rPr>
                <w:sz w:val="20"/>
              </w:rPr>
            </w:r>
          </w:p>
        </w:tc>
        <w:tc>
          <w:tcPr>
            <w:tcW w:w="1303" w:type="dxa"/>
            <w:tcBorders>
              <w:top w:val="nil"/>
              <w:left w:val="nil"/>
              <w:bottom w:val="nil"/>
              <w:right w:val="single" w:sz="4"/>
            </w:tcBorders>
          </w:tcPr>
          <w:p>
            <w:pPr>
              <w:pStyle w:val="0"/>
            </w:pPr>
            <w:r>
              <w:rPr>
                <w:sz w:val="20"/>
              </w:rPr>
            </w:r>
          </w:p>
        </w:tc>
        <w:tc>
          <w:tcPr>
            <w:tcW w:w="850" w:type="dxa"/>
            <w:tcBorders>
              <w:top w:val="single" w:sz="4"/>
              <w:left w:val="single" w:sz="4"/>
              <w:bottom w:val="single" w:sz="4"/>
              <w:right w:val="single" w:sz="4"/>
            </w:tcBorders>
          </w:tcPr>
          <w:p>
            <w:pPr>
              <w:pStyle w:val="0"/>
              <w:jc w:val="center"/>
            </w:pPr>
            <w:r>
              <w:rPr>
                <w:sz w:val="20"/>
              </w:rPr>
              <w:t xml:space="preserve">Коды</w:t>
            </w:r>
          </w:p>
        </w:tc>
      </w:tr>
      <w:tr>
        <w:tc>
          <w:tcPr>
            <w:gridSpan w:val="2"/>
            <w:tcW w:w="3628" w:type="dxa"/>
            <w:tcBorders>
              <w:top w:val="nil"/>
              <w:left w:val="nil"/>
              <w:bottom w:val="nil"/>
              <w:right w:val="nil"/>
            </w:tcBorders>
          </w:tcPr>
          <w:p>
            <w:pPr>
              <w:pStyle w:val="0"/>
            </w:pPr>
            <w:r>
              <w:rPr>
                <w:sz w:val="20"/>
              </w:rPr>
              <w:t xml:space="preserve">Наименование высшего исполнительного органа субъекта Российской Федерации</w:t>
            </w:r>
          </w:p>
        </w:tc>
        <w:tc>
          <w:tcPr>
            <w:tcW w:w="3288" w:type="dxa"/>
            <w:tcBorders>
              <w:top w:val="nil"/>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tcBorders>
              <w:top w:val="single" w:sz="4"/>
              <w:left w:val="single" w:sz="4"/>
              <w:bottom w:val="single" w:sz="4"/>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t xml:space="preserve">Наименование субъекта Российской Федерации</w:t>
            </w:r>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jc w:val="right"/>
            </w:pPr>
            <w:r>
              <w:rPr>
                <w:sz w:val="20"/>
              </w:rPr>
              <w:t xml:space="preserve">по </w:t>
            </w:r>
            <w:hyperlink w:history="0" r:id="rId4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19/2025) {КонсультантПлюс}">
              <w:r>
                <w:rPr>
                  <w:sz w:val="20"/>
                  <w:color w:val="0000ff"/>
                </w:rPr>
                <w:t xml:space="preserve">ОКТМО</w:t>
              </w:r>
            </w:hyperlink>
          </w:p>
        </w:tc>
        <w:tc>
          <w:tcPr>
            <w:tcW w:w="850" w:type="dxa"/>
            <w:tcBorders>
              <w:top w:val="single" w:sz="4"/>
              <w:left w:val="single" w:sz="4"/>
              <w:bottom w:val="single" w:sz="4"/>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t xml:space="preserve">Наименование главного распорядителя средств федерального бюджета</w:t>
            </w:r>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tcBorders>
              <w:top w:val="single" w:sz="4"/>
              <w:left w:val="single" w:sz="4"/>
              <w:bottom w:val="single" w:sz="4"/>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(Министерство, Агентство, Служба)</w:t>
            </w:r>
          </w:p>
        </w:tc>
        <w:tc>
          <w:tcPr>
            <w:tcW w:w="1303" w:type="dxa"/>
            <w:vAlign w:val="bottom"/>
            <w:tcBorders>
              <w:top w:val="nil"/>
              <w:left w:val="nil"/>
              <w:bottom w:val="nil"/>
              <w:right w:val="single" w:sz="4"/>
            </w:tcBorders>
          </w:tcPr>
          <w:p>
            <w:pPr>
              <w:pStyle w:val="0"/>
            </w:pPr>
            <w:r>
              <w:rPr>
                <w:sz w:val="20"/>
              </w:rPr>
            </w:r>
          </w:p>
        </w:tc>
        <w:tc>
          <w:tcPr>
            <w:tcW w:w="850" w:type="dxa"/>
            <w:tcBorders>
              <w:top w:val="single" w:sz="4"/>
              <w:left w:val="single" w:sz="4"/>
              <w:bottom w:val="nil"/>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t xml:space="preserve">Наименование федерального проекта </w:t>
            </w:r>
            <w:hyperlink w:history="0" w:anchor="P926" w:tooltip="&lt;1&gt; Указывается наименование федерального проекта. В кодовой зоне указываются 1 - 5 разряды кода целевой статьи расходов федерального бюджета.">
              <w:r>
                <w:rPr>
                  <w:sz w:val="20"/>
                  <w:color w:val="0000ff"/>
                </w:rPr>
                <w:t xml:space="preserve">&lt;1&gt;</w:t>
              </w:r>
            </w:hyperlink>
          </w:p>
        </w:tc>
        <w:tc>
          <w:tcPr>
            <w:tcW w:w="3288" w:type="dxa"/>
            <w:tcBorders>
              <w:top w:val="nil"/>
              <w:left w:val="nil"/>
              <w:bottom w:val="single" w:sz="4"/>
              <w:right w:val="nil"/>
            </w:tcBorders>
          </w:tcPr>
          <w:p>
            <w:pPr>
              <w:pStyle w:val="0"/>
            </w:pPr>
            <w:r>
              <w:rPr>
                <w:sz w:val="20"/>
              </w:rPr>
            </w:r>
          </w:p>
        </w:tc>
        <w:tc>
          <w:tcPr>
            <w:tcW w:w="1303" w:type="dxa"/>
            <w:vAlign w:val="bottom"/>
            <w:tcBorders>
              <w:top w:val="nil"/>
              <w:left w:val="nil"/>
              <w:bottom w:val="nil"/>
              <w:right w:val="single" w:sz="4"/>
            </w:tcBorders>
          </w:tcPr>
          <w:bookmarkStart w:id="614" w:name="P614"/>
          <w:bookmarkEnd w:id="614"/>
          <w:p>
            <w:pPr>
              <w:pStyle w:val="0"/>
              <w:jc w:val="right"/>
            </w:pPr>
            <w:r>
              <w:rPr>
                <w:sz w:val="20"/>
              </w:rPr>
              <w:t xml:space="preserve">по БК </w:t>
            </w:r>
            <w:hyperlink w:history="0" w:anchor="P926" w:tooltip="&lt;1&gt; Указывается наименование федерального проекта. В кодовой зоне указываются 1 - 5 разряды кода целевой статьи расходов федерального бюджета.">
              <w:r>
                <w:rPr>
                  <w:sz w:val="20"/>
                  <w:color w:val="0000ff"/>
                </w:rPr>
                <w:t xml:space="preserve">&lt;1&gt;</w:t>
              </w:r>
            </w:hyperlink>
          </w:p>
        </w:tc>
        <w:tc>
          <w:tcPr>
            <w:tcW w:w="850" w:type="dxa"/>
            <w:tcBorders>
              <w:top w:val="nil"/>
              <w:left w:val="single" w:sz="4"/>
              <w:bottom w:val="single" w:sz="4"/>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t xml:space="preserve">Наименование регионального проекта </w:t>
            </w:r>
            <w:hyperlink w:history="0" w:anchor="P927" w:tooltip="&lt;1.1&gt; Указывается наименование регионального проекта в случае предоставления Иного межбюджетного трансферта в целях софинансирования расходных обязательств субъекта Российской Федерации, возникающих при реализации регионального проекта, обеспечивающего достижение целей, показателей и мероприятий (результатов) федерального проекта, входящего в состав соответствующего национального проекта. В кодовой зоне указываются 4 и 5 разряды кодов целевых статей расходов бюджета субъекта Российской Федерации.">
              <w:r>
                <w:rPr>
                  <w:sz w:val="20"/>
                  <w:color w:val="0000ff"/>
                </w:rPr>
                <w:t xml:space="preserve">&lt;1.1&gt;</w:t>
              </w:r>
            </w:hyperlink>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bookmarkStart w:id="618" w:name="P618"/>
          <w:bookmarkEnd w:id="618"/>
          <w:p>
            <w:pPr>
              <w:pStyle w:val="0"/>
              <w:jc w:val="right"/>
            </w:pPr>
            <w:r>
              <w:rPr>
                <w:sz w:val="20"/>
              </w:rPr>
              <w:t xml:space="preserve">по БК </w:t>
            </w:r>
            <w:hyperlink w:history="0" w:anchor="P927" w:tooltip="&lt;1.1&gt; Указывается наименование регионального проекта в случае предоставления Иного межбюджетного трансферта в целях софинансирования расходных обязательств субъекта Российской Федерации, возникающих при реализации регионального проекта, обеспечивающего достижение целей, показателей и мероприятий (результатов) федерального проекта, входящего в состав соответствующего национального проекта. В кодовой зоне указываются 4 и 5 разряды кодов целевых статей расходов бюджета субъекта Российской Федерации.">
              <w:r>
                <w:rPr>
                  <w:sz w:val="20"/>
                  <w:color w:val="0000ff"/>
                </w:rPr>
                <w:t xml:space="preserve">&lt;1.1&gt;</w:t>
              </w:r>
            </w:hyperlink>
          </w:p>
        </w:tc>
        <w:tc>
          <w:tcPr>
            <w:tcW w:w="850" w:type="dxa"/>
            <w:tcBorders>
              <w:top w:val="single" w:sz="4"/>
              <w:left w:val="single" w:sz="4"/>
              <w:bottom w:val="single" w:sz="4"/>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t xml:space="preserve">Вид документа</w:t>
            </w:r>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pPr>
            <w:r>
              <w:rPr>
                <w:sz w:val="20"/>
              </w:rPr>
            </w:r>
          </w:p>
        </w:tc>
        <w:tc>
          <w:tcPr>
            <w:tcW w:w="850" w:type="dxa"/>
            <w:tcBorders>
              <w:top w:val="single" w:sz="4"/>
              <w:left w:val="single" w:sz="4"/>
              <w:bottom w:val="single" w:sz="4"/>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(первичный - "0", измененный </w:t>
            </w:r>
            <w:hyperlink w:history="0" w:anchor="P928" w:tooltip="&lt;2&gt; Указывается порядковый номер очередного внесения изменения в приложение.">
              <w:r>
                <w:rPr>
                  <w:sz w:val="20"/>
                  <w:color w:val="0000ff"/>
                </w:rPr>
                <w:t xml:space="preserve">&lt;2&gt;</w:t>
              </w:r>
            </w:hyperlink>
            <w:r>
              <w:rPr>
                <w:sz w:val="20"/>
              </w:rPr>
              <w:t xml:space="preserve"> - "1", "2", "3", "...")</w:t>
            </w:r>
          </w:p>
        </w:tc>
        <w:tc>
          <w:tcPr>
            <w:tcW w:w="1303" w:type="dxa"/>
            <w:vAlign w:val="bottom"/>
            <w:tcBorders>
              <w:top w:val="nil"/>
              <w:left w:val="nil"/>
              <w:bottom w:val="nil"/>
              <w:right w:val="single" w:sz="4"/>
            </w:tcBorders>
          </w:tcPr>
          <w:p>
            <w:pPr>
              <w:pStyle w:val="0"/>
              <w:jc w:val="right"/>
            </w:pPr>
            <w:r>
              <w:rPr>
                <w:sz w:val="20"/>
              </w:rPr>
            </w:r>
          </w:p>
        </w:tc>
        <w:tc>
          <w:tcPr>
            <w:tcW w:w="850" w:type="dxa"/>
            <w:vAlign w:val="bottom"/>
            <w:tcBorders>
              <w:top w:val="single" w:sz="4"/>
              <w:left w:val="single" w:sz="4"/>
              <w:bottom w:val="nil"/>
              <w:right w:val="single" w:sz="4"/>
            </w:tcBorders>
          </w:tcPr>
          <w:p>
            <w:pPr>
              <w:pStyle w:val="0"/>
              <w:jc w:val="center"/>
            </w:pPr>
            <w:r>
              <w:rPr>
                <w:sz w:val="20"/>
              </w:rPr>
            </w:r>
          </w:p>
        </w:tc>
      </w:tr>
      <w:tr>
        <w:tc>
          <w:tcPr>
            <w:tcW w:w="1531" w:type="dxa"/>
            <w:tcBorders>
              <w:top w:val="nil"/>
              <w:left w:val="nil"/>
              <w:bottom w:val="nil"/>
              <w:right w:val="nil"/>
            </w:tcBorders>
          </w:tcPr>
          <w:p>
            <w:pPr>
              <w:pStyle w:val="0"/>
            </w:pPr>
            <w:r>
              <w:rPr>
                <w:sz w:val="20"/>
              </w:rPr>
              <w:t xml:space="preserve">Единица измерения:</w:t>
            </w:r>
          </w:p>
        </w:tc>
        <w:tc>
          <w:tcPr>
            <w:gridSpan w:val="2"/>
            <w:tcW w:w="5385" w:type="dxa"/>
            <w:vAlign w:val="bottom"/>
            <w:tcBorders>
              <w:top w:val="nil"/>
              <w:left w:val="nil"/>
              <w:bottom w:val="nil"/>
              <w:right w:val="nil"/>
            </w:tcBorders>
          </w:tcPr>
          <w:p>
            <w:pPr>
              <w:pStyle w:val="0"/>
            </w:pPr>
            <w:r>
              <w:rPr>
                <w:sz w:val="20"/>
              </w:rPr>
              <w:t xml:space="preserve">руб (с точностью до второго знака после запятой)</w:t>
            </w:r>
          </w:p>
        </w:tc>
        <w:tc>
          <w:tcPr>
            <w:tcW w:w="1303" w:type="dxa"/>
            <w:tcBorders>
              <w:top w:val="nil"/>
              <w:left w:val="nil"/>
              <w:bottom w:val="nil"/>
              <w:right w:val="single" w:sz="4"/>
            </w:tcBorders>
          </w:tcPr>
          <w:p>
            <w:pPr>
              <w:pStyle w:val="0"/>
              <w:jc w:val="right"/>
            </w:pPr>
            <w:r>
              <w:rPr>
                <w:sz w:val="20"/>
              </w:rPr>
              <w:t xml:space="preserve">по </w:t>
            </w:r>
            <w:hyperlink w:history="0" r:id="rId4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tc>
        <w:tc>
          <w:tcPr>
            <w:tcW w:w="850" w:type="dxa"/>
            <w:tcBorders>
              <w:top w:val="nil"/>
              <w:left w:val="single" w:sz="4"/>
              <w:bottom w:val="single" w:sz="4"/>
              <w:right w:val="single" w:sz="4"/>
            </w:tcBorders>
          </w:tcPr>
          <w:p>
            <w:pPr>
              <w:pStyle w:val="0"/>
              <w:jc w:val="center"/>
            </w:pPr>
            <w:r>
              <w:rPr>
                <w:sz w:val="20"/>
              </w:rPr>
              <w:t xml:space="preserve">383</w:t>
            </w:r>
          </w:p>
        </w:tc>
      </w:tr>
    </w:tbl>
    <w:p>
      <w:pPr>
        <w:pStyle w:val="0"/>
        <w:jc w:val="both"/>
      </w:pPr>
      <w:r>
        <w:rPr>
          <w:sz w:val="20"/>
        </w:rPr>
      </w:r>
    </w:p>
    <w:p>
      <w:pPr>
        <w:pStyle w:val="1"/>
        <w:jc w:val="both"/>
      </w:pPr>
      <w:r>
        <w:rPr>
          <w:sz w:val="20"/>
        </w:rPr>
        <w:t xml:space="preserve">1. Объем финансового обеспечения расходных обязательств субъекта Российской</w:t>
      </w:r>
    </w:p>
    <w:p>
      <w:pPr>
        <w:pStyle w:val="1"/>
        <w:jc w:val="both"/>
      </w:pPr>
      <w:r>
        <w:rPr>
          <w:sz w:val="20"/>
        </w:rPr>
        <w:t xml:space="preserve">Федерации,   в   целях   софинансирования   которых   предоставляется  Иной</w:t>
      </w:r>
    </w:p>
    <w:p>
      <w:pPr>
        <w:pStyle w:val="1"/>
        <w:jc w:val="both"/>
      </w:pPr>
      <w:r>
        <w:rPr>
          <w:sz w:val="20"/>
        </w:rPr>
        <w:t xml:space="preserve">межбюджетный трансферт</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right w:val="single" w:sz="4"/>
          <w:insideV w:val="single" w:sz="4"/>
          <w:insideH w:val="single" w:sz="4"/>
        </w:tblBorders>
        <w:tblCellMar>
          <w:top w:w="102" w:type="dxa"/>
          <w:left w:w="62" w:type="dxa"/>
          <w:bottom w:w="102" w:type="dxa"/>
          <w:right w:w="62" w:type="dxa"/>
        </w:tblCellMar>
      </w:tblPr>
      <w:tblGrid>
        <w:gridCol w:w="907"/>
        <w:gridCol w:w="737"/>
        <w:gridCol w:w="1020"/>
        <w:gridCol w:w="1020"/>
        <w:gridCol w:w="1077"/>
        <w:gridCol w:w="624"/>
        <w:gridCol w:w="964"/>
        <w:gridCol w:w="964"/>
        <w:gridCol w:w="964"/>
        <w:gridCol w:w="964"/>
        <w:gridCol w:w="763"/>
        <w:gridCol w:w="763"/>
        <w:gridCol w:w="763"/>
        <w:gridCol w:w="763"/>
        <w:gridCol w:w="763"/>
        <w:gridCol w:w="763"/>
        <w:gridCol w:w="763"/>
        <w:gridCol w:w="763"/>
        <w:gridCol w:w="763"/>
        <w:gridCol w:w="763"/>
        <w:gridCol w:w="763"/>
        <w:gridCol w:w="763"/>
        <w:gridCol w:w="763"/>
        <w:gridCol w:w="763"/>
        <w:gridCol w:w="763"/>
        <w:gridCol w:w="763"/>
      </w:tblGrid>
      <w:tr>
        <w:tblPrEx>
          <w:tblBorders>
            <w:right w:val="nil"/>
          </w:tblBorders>
        </w:tblPrEx>
        <w:tc>
          <w:tcPr>
            <w:gridSpan w:val="2"/>
            <w:tcW w:w="1644" w:type="dxa"/>
            <w:tcBorders>
              <w:left w:val="nil"/>
            </w:tcBorders>
            <w:vMerge w:val="restart"/>
          </w:tcPr>
          <w:p>
            <w:pPr>
              <w:pStyle w:val="0"/>
              <w:jc w:val="center"/>
            </w:pPr>
            <w:r>
              <w:rPr>
                <w:sz w:val="20"/>
              </w:rPr>
              <w:t xml:space="preserve">Направление расходов </w:t>
            </w:r>
            <w:hyperlink w:history="0" w:anchor="P929" w:tooltip="&lt;3&gt; Указывается наименование направления расходов целевой статьи расходов бюджета субъекта Российской Федерации и соответствующий ему код (13 - 17 разряды кода классификации расходов бюджетов).">
              <w:r>
                <w:rPr>
                  <w:sz w:val="20"/>
                  <w:color w:val="0000ff"/>
                </w:rPr>
                <w:t xml:space="preserve">&lt;3&gt;</w:t>
              </w:r>
            </w:hyperlink>
          </w:p>
        </w:tc>
        <w:tc>
          <w:tcPr>
            <w:tcW w:w="1020" w:type="dxa"/>
            <w:vMerge w:val="restart"/>
          </w:tcPr>
          <w:p>
            <w:pPr>
              <w:pStyle w:val="0"/>
              <w:jc w:val="center"/>
            </w:pPr>
            <w:r>
              <w:rPr>
                <w:sz w:val="20"/>
              </w:rPr>
              <w:t xml:space="preserve">Результат предоставления Иного межбюджетного трансферта </w:t>
            </w:r>
            <w:hyperlink w:history="0" w:anchor="P930" w:tooltip="&lt;4&gt; Указывается наименование предусмотренного Правилами предоставления иного межбюджетного трансферта результата предоставления Иного межбюджетного трансферта. В случае предоставления Иного межбюджетного трансферта в целях осуществления капитальных вложений в объекты капитального строительства и (или) объекты недвижимого имущества) заполнение графы 3 является обязательным.">
              <w:r>
                <w:rPr>
                  <w:sz w:val="20"/>
                  <w:color w:val="0000ff"/>
                </w:rPr>
                <w:t xml:space="preserve">&lt;4&gt;</w:t>
              </w:r>
            </w:hyperlink>
          </w:p>
        </w:tc>
        <w:tc>
          <w:tcPr>
            <w:tcW w:w="1020" w:type="dxa"/>
            <w:vMerge w:val="restart"/>
          </w:tcPr>
          <w:p>
            <w:pPr>
              <w:pStyle w:val="0"/>
              <w:jc w:val="center"/>
            </w:pPr>
            <w:r>
              <w:rPr>
                <w:sz w:val="20"/>
              </w:rPr>
              <w:t xml:space="preserve">Код мероприятия (результата) федерального проекта </w:t>
            </w:r>
            <w:hyperlink w:history="0" w:anchor="P931" w:tooltip="&lt;4.1&gt; Указывается соответствующий результату предоставления Иного межбюджетного трансферта код мероприятия (результата) федерального проекта, автоматически сформированный в государственной интегрированной информационной системе управления общественными финансами &quot;Электронный бюджет&quot; (постановление Правительства Российской Федерации от 30.06.2015 N 658 &quot;О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w:r>
                <w:rPr>
                  <w:sz w:val="20"/>
                  <w:color w:val="0000ff"/>
                </w:rPr>
                <w:t xml:space="preserve">&lt;4.1&gt;</w:t>
              </w:r>
            </w:hyperlink>
          </w:p>
        </w:tc>
        <w:tc>
          <w:tcPr>
            <w:gridSpan w:val="5"/>
            <w:tcW w:w="4593" w:type="dxa"/>
          </w:tcPr>
          <w:p>
            <w:pPr>
              <w:pStyle w:val="0"/>
              <w:jc w:val="center"/>
            </w:pPr>
            <w:r>
              <w:rPr>
                <w:sz w:val="20"/>
              </w:rPr>
              <w:t xml:space="preserve">Объект капитального строительства (недвижимого имущества) </w:t>
            </w:r>
            <w:hyperlink w:history="0" w:anchor="P932" w:tooltip="&lt;5&gt; Заполняется в случаях предоставления Иного межбюджетного трансферта в целях осуществления капитальных вложений в объекты капитального строительства и (или) недвижимого имущества (софинансирования расходных обязательств субъекта Российской Федерации, возникающих при выполнении работ по капитальному ремонту объектов недвижимого имущества, в случае если Правилами предоставления иного межбюджетного трансферта предусмотрено положение об адресном (пообъектном) распределении Иного межбюджетного трансферта п...">
              <w:r>
                <w:rPr>
                  <w:sz w:val="20"/>
                  <w:color w:val="0000ff"/>
                </w:rPr>
                <w:t xml:space="preserve">&lt;5&gt;</w:t>
              </w:r>
            </w:hyperlink>
          </w:p>
        </w:tc>
        <w:tc>
          <w:tcPr>
            <w:tcW w:w="964" w:type="dxa"/>
            <w:vMerge w:val="restart"/>
          </w:tcPr>
          <w:p>
            <w:pPr>
              <w:pStyle w:val="0"/>
              <w:jc w:val="center"/>
            </w:pPr>
            <w:r>
              <w:rPr>
                <w:sz w:val="20"/>
              </w:rPr>
              <w:t xml:space="preserve">Код строки</w:t>
            </w:r>
          </w:p>
        </w:tc>
        <w:tc>
          <w:tcPr>
            <w:gridSpan w:val="8"/>
            <w:tcW w:w="6104" w:type="dxa"/>
          </w:tcPr>
          <w:p>
            <w:pPr>
              <w:pStyle w:val="0"/>
              <w:jc w:val="center"/>
            </w:pPr>
            <w:r>
              <w:rPr>
                <w:sz w:val="20"/>
              </w:rPr>
              <w:t xml:space="preserve">Объем финансового обеспечения расходных обязательств субъекта Российской Федерации, в целях софинансирования которых предоставляется Иной межбюджетный трансферт</w:t>
            </w:r>
          </w:p>
        </w:tc>
        <w:tc>
          <w:tcPr>
            <w:gridSpan w:val="4"/>
            <w:tcW w:w="3052" w:type="dxa"/>
            <w:vMerge w:val="restart"/>
          </w:tcPr>
          <w:p>
            <w:pPr>
              <w:pStyle w:val="0"/>
              <w:jc w:val="center"/>
            </w:pPr>
            <w:r>
              <w:rPr>
                <w:sz w:val="20"/>
              </w:rPr>
              <w:t xml:space="preserve">Уровень софинансирования, % </w:t>
            </w:r>
            <w:hyperlink w:history="0" w:anchor="P933" w:tooltip="&lt;6&gt; Заполняется при наличии в соглашении условия, предусмотренного подпунктом &quot;в&quot; пункта 2.2 настоящей Типовой формы соглашения. Указывается уровень софинансирования, выраженный в процентах от объема расходного обязательства субъекта Российской Федерации.">
              <w:r>
                <w:rPr>
                  <w:sz w:val="20"/>
                  <w:color w:val="0000ff"/>
                </w:rPr>
                <w:t xml:space="preserve">&lt;6&gt;</w:t>
              </w:r>
            </w:hyperlink>
          </w:p>
        </w:tc>
        <w:tc>
          <w:tcPr>
            <w:gridSpan w:val="4"/>
            <w:tcW w:w="3052" w:type="dxa"/>
            <w:tcBorders>
              <w:right w:val="nil"/>
            </w:tcBorders>
            <w:vMerge w:val="restart"/>
          </w:tcPr>
          <w:p>
            <w:pPr>
              <w:pStyle w:val="0"/>
              <w:jc w:val="center"/>
            </w:pPr>
            <w:r>
              <w:rPr>
                <w:sz w:val="20"/>
              </w:rPr>
              <w:t xml:space="preserve">Объем финансового обеспечения расходных обязательств муниципальных образований (справочно) </w:t>
            </w:r>
            <w:hyperlink w:history="0" w:anchor="P934" w:tooltip="&lt;7&gt; Указывается справочно в случае предоставления Иного межбюджетного трансферта для последующего предоставления соответствующего межбюджетного трансферта, имеющего целевое назначение,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на финансовое обеспечение расходных обязательств муниципальных образований, возникающих при выполнении государственных полномочий субъекта Рос...">
              <w:r>
                <w:rPr>
                  <w:sz w:val="20"/>
                  <w:color w:val="0000ff"/>
                </w:rPr>
                <w:t xml:space="preserve">&lt;7&gt;</w:t>
              </w:r>
            </w:hyperlink>
          </w:p>
        </w:tc>
      </w:tr>
      <w:tr>
        <w:tblPrEx>
          <w:tblBorders>
            <w:right w:val="nil"/>
          </w:tblBorders>
        </w:tblPrEx>
        <w:tc>
          <w:tcPr>
            <w:gridSpan w:val="2"/>
            <w:tcBorders>
              <w:left w:val="nil"/>
            </w:tcBorders>
            <w:vMerge w:val="continue"/>
          </w:tcPr>
          <w:p/>
        </w:tc>
        <w:tc>
          <w:tcPr>
            <w:vMerge w:val="continue"/>
          </w:tcPr>
          <w:p/>
        </w:tc>
        <w:tc>
          <w:tcPr>
            <w:vMerge w:val="continue"/>
          </w:tcPr>
          <w:p/>
        </w:tc>
        <w:tc>
          <w:tcPr>
            <w:tcW w:w="1077" w:type="dxa"/>
            <w:vMerge w:val="restart"/>
          </w:tcPr>
          <w:p>
            <w:pPr>
              <w:pStyle w:val="0"/>
              <w:jc w:val="center"/>
            </w:pPr>
            <w:r>
              <w:rPr>
                <w:sz w:val="20"/>
              </w:rPr>
              <w:t xml:space="preserve">наименование</w:t>
            </w:r>
          </w:p>
        </w:tc>
        <w:tc>
          <w:tcPr>
            <w:tcW w:w="624" w:type="dxa"/>
            <w:vMerge w:val="restart"/>
          </w:tcPr>
          <w:p>
            <w:pPr>
              <w:pStyle w:val="0"/>
              <w:jc w:val="center"/>
            </w:pPr>
            <w:r>
              <w:rPr>
                <w:sz w:val="20"/>
              </w:rPr>
              <w:t xml:space="preserve">уникальный код</w:t>
            </w:r>
          </w:p>
        </w:tc>
        <w:tc>
          <w:tcPr>
            <w:gridSpan w:val="2"/>
            <w:tcW w:w="1928" w:type="dxa"/>
          </w:tcPr>
          <w:p>
            <w:pPr>
              <w:pStyle w:val="0"/>
              <w:jc w:val="center"/>
            </w:pPr>
            <w:r>
              <w:rPr>
                <w:sz w:val="20"/>
              </w:rPr>
              <w:t xml:space="preserve">Местонахождение</w:t>
            </w:r>
          </w:p>
        </w:tc>
        <w:tc>
          <w:tcPr>
            <w:tcW w:w="964" w:type="dxa"/>
            <w:vMerge w:val="restart"/>
          </w:tcPr>
          <w:p>
            <w:pPr>
              <w:pStyle w:val="0"/>
              <w:jc w:val="center"/>
            </w:pPr>
            <w:r>
              <w:rPr>
                <w:sz w:val="20"/>
              </w:rPr>
              <w:t xml:space="preserve">Адрес (в соответствии с ФИАС)</w:t>
            </w:r>
          </w:p>
        </w:tc>
        <w:tc>
          <w:tcPr>
            <w:vMerge w:val="continue"/>
          </w:tcPr>
          <w:p/>
        </w:tc>
        <w:tc>
          <w:tcPr>
            <w:gridSpan w:val="4"/>
            <w:tcW w:w="3052" w:type="dxa"/>
          </w:tcPr>
          <w:p>
            <w:pPr>
              <w:pStyle w:val="0"/>
              <w:jc w:val="center"/>
            </w:pPr>
            <w:r>
              <w:rPr>
                <w:sz w:val="20"/>
              </w:rPr>
              <w:t xml:space="preserve">всего</w:t>
            </w:r>
          </w:p>
        </w:tc>
        <w:tc>
          <w:tcPr>
            <w:gridSpan w:val="4"/>
            <w:tcW w:w="3052" w:type="dxa"/>
          </w:tcPr>
          <w:p>
            <w:pPr>
              <w:pStyle w:val="0"/>
              <w:jc w:val="center"/>
            </w:pPr>
            <w:r>
              <w:rPr>
                <w:sz w:val="20"/>
              </w:rPr>
              <w:t xml:space="preserve">из них в размере Иного межбюджетного трансферта</w:t>
            </w:r>
          </w:p>
        </w:tc>
        <w:tc>
          <w:tcPr>
            <w:gridSpan w:val="4"/>
            <w:vMerge w:val="continue"/>
          </w:tcPr>
          <w:p/>
        </w:tc>
        <w:tc>
          <w:tcPr>
            <w:gridSpan w:val="4"/>
            <w:tcBorders>
              <w:right w:val="nil"/>
            </w:tcBorders>
            <w:vMerge w:val="continue"/>
          </w:tcPr>
          <w:p/>
        </w:tc>
      </w:tr>
      <w:tr>
        <w:tblPrEx>
          <w:tblBorders>
            <w:right w:val="nil"/>
          </w:tblBorders>
        </w:tblPrEx>
        <w:tc>
          <w:tcPr>
            <w:tcW w:w="907" w:type="dxa"/>
            <w:tcBorders>
              <w:left w:val="nil"/>
            </w:tcBorders>
          </w:tcPr>
          <w:p>
            <w:pPr>
              <w:pStyle w:val="0"/>
              <w:jc w:val="center"/>
            </w:pPr>
            <w:r>
              <w:rPr>
                <w:sz w:val="20"/>
              </w:rPr>
              <w:t xml:space="preserve">наименование</w:t>
            </w:r>
          </w:p>
        </w:tc>
        <w:tc>
          <w:tcPr>
            <w:tcW w:w="737" w:type="dxa"/>
          </w:tcPr>
          <w:p>
            <w:pPr>
              <w:pStyle w:val="0"/>
              <w:jc w:val="center"/>
            </w:pPr>
            <w:r>
              <w:rPr>
                <w:sz w:val="20"/>
              </w:rPr>
              <w:t xml:space="preserve">код по БК</w:t>
            </w: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код по </w:t>
            </w:r>
            <w:hyperlink w:history="0" r:id="rId4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19/2025) {КонсультантПлюс}">
              <w:r>
                <w:rPr>
                  <w:sz w:val="20"/>
                  <w:color w:val="0000ff"/>
                </w:rPr>
                <w:t xml:space="preserve">ОКТМО</w:t>
              </w:r>
            </w:hyperlink>
          </w:p>
        </w:tc>
        <w:tc>
          <w:tcPr>
            <w:tcW w:w="964" w:type="dxa"/>
          </w:tcPr>
          <w:p>
            <w:pPr>
              <w:pStyle w:val="0"/>
              <w:jc w:val="center"/>
            </w:pPr>
            <w:r>
              <w:rPr>
                <w:sz w:val="20"/>
              </w:rPr>
              <w:t xml:space="preserve">наименование</w:t>
            </w:r>
          </w:p>
        </w:tc>
        <w:tc>
          <w:tcPr>
            <w:vMerge w:val="continue"/>
          </w:tcPr>
          <w:p/>
        </w:tc>
        <w:tc>
          <w:tcPr>
            <w:vMerge w:val="continue"/>
          </w:tcPr>
          <w:p/>
        </w:tc>
        <w:tc>
          <w:tcPr>
            <w:tcW w:w="763" w:type="dxa"/>
          </w:tcPr>
          <w:p>
            <w:pPr>
              <w:pStyle w:val="0"/>
              <w:jc w:val="center"/>
            </w:pPr>
            <w:r>
              <w:rPr>
                <w:sz w:val="20"/>
              </w:rPr>
              <w:t xml:space="preserve">20__ г.</w:t>
            </w:r>
          </w:p>
        </w:tc>
        <w:tc>
          <w:tcPr>
            <w:tcW w:w="763" w:type="dxa"/>
          </w:tcPr>
          <w:p>
            <w:pPr>
              <w:pStyle w:val="0"/>
              <w:jc w:val="center"/>
            </w:pPr>
            <w:r>
              <w:rPr>
                <w:sz w:val="20"/>
              </w:rPr>
              <w:t xml:space="preserve">20__ г.</w:t>
            </w:r>
          </w:p>
        </w:tc>
        <w:tc>
          <w:tcPr>
            <w:tcW w:w="763" w:type="dxa"/>
          </w:tcPr>
          <w:p>
            <w:pPr>
              <w:pStyle w:val="0"/>
              <w:jc w:val="center"/>
            </w:pPr>
            <w:r>
              <w:rPr>
                <w:sz w:val="20"/>
              </w:rPr>
              <w:t xml:space="preserve">20__ г.</w:t>
            </w:r>
          </w:p>
        </w:tc>
        <w:tc>
          <w:tcPr>
            <w:tcW w:w="763" w:type="dxa"/>
          </w:tcPr>
          <w:p>
            <w:pPr>
              <w:pStyle w:val="0"/>
              <w:jc w:val="center"/>
            </w:pPr>
            <w:r>
              <w:rPr>
                <w:sz w:val="20"/>
              </w:rPr>
              <w:t xml:space="preserve">20__ г.</w:t>
            </w:r>
          </w:p>
        </w:tc>
        <w:tc>
          <w:tcPr>
            <w:tcW w:w="763" w:type="dxa"/>
          </w:tcPr>
          <w:p>
            <w:pPr>
              <w:pStyle w:val="0"/>
              <w:jc w:val="center"/>
            </w:pPr>
            <w:r>
              <w:rPr>
                <w:sz w:val="20"/>
              </w:rPr>
              <w:t xml:space="preserve">20__ г.</w:t>
            </w:r>
          </w:p>
        </w:tc>
        <w:tc>
          <w:tcPr>
            <w:tcW w:w="763" w:type="dxa"/>
          </w:tcPr>
          <w:p>
            <w:pPr>
              <w:pStyle w:val="0"/>
              <w:jc w:val="center"/>
            </w:pPr>
            <w:r>
              <w:rPr>
                <w:sz w:val="20"/>
              </w:rPr>
              <w:t xml:space="preserve">20__ г.</w:t>
            </w:r>
          </w:p>
        </w:tc>
        <w:tc>
          <w:tcPr>
            <w:tcW w:w="763" w:type="dxa"/>
          </w:tcPr>
          <w:p>
            <w:pPr>
              <w:pStyle w:val="0"/>
              <w:jc w:val="center"/>
            </w:pPr>
            <w:r>
              <w:rPr>
                <w:sz w:val="20"/>
              </w:rPr>
              <w:t xml:space="preserve">20__ г.</w:t>
            </w:r>
          </w:p>
        </w:tc>
        <w:tc>
          <w:tcPr>
            <w:tcW w:w="763" w:type="dxa"/>
          </w:tcPr>
          <w:p>
            <w:pPr>
              <w:pStyle w:val="0"/>
              <w:jc w:val="center"/>
            </w:pPr>
            <w:r>
              <w:rPr>
                <w:sz w:val="20"/>
              </w:rPr>
              <w:t xml:space="preserve">20__ г.</w:t>
            </w:r>
          </w:p>
        </w:tc>
        <w:tc>
          <w:tcPr>
            <w:tcW w:w="763" w:type="dxa"/>
          </w:tcPr>
          <w:p>
            <w:pPr>
              <w:pStyle w:val="0"/>
              <w:jc w:val="center"/>
            </w:pPr>
            <w:r>
              <w:rPr>
                <w:sz w:val="20"/>
              </w:rPr>
              <w:t xml:space="preserve">20__ г.</w:t>
            </w:r>
          </w:p>
        </w:tc>
        <w:tc>
          <w:tcPr>
            <w:tcW w:w="763" w:type="dxa"/>
          </w:tcPr>
          <w:p>
            <w:pPr>
              <w:pStyle w:val="0"/>
              <w:jc w:val="center"/>
            </w:pPr>
            <w:r>
              <w:rPr>
                <w:sz w:val="20"/>
              </w:rPr>
              <w:t xml:space="preserve">20__ г.</w:t>
            </w:r>
          </w:p>
        </w:tc>
        <w:tc>
          <w:tcPr>
            <w:tcW w:w="763" w:type="dxa"/>
          </w:tcPr>
          <w:p>
            <w:pPr>
              <w:pStyle w:val="0"/>
              <w:jc w:val="center"/>
            </w:pPr>
            <w:r>
              <w:rPr>
                <w:sz w:val="20"/>
              </w:rPr>
              <w:t xml:space="preserve">20__ г.</w:t>
            </w:r>
          </w:p>
        </w:tc>
        <w:tc>
          <w:tcPr>
            <w:tcW w:w="763" w:type="dxa"/>
          </w:tcPr>
          <w:p>
            <w:pPr>
              <w:pStyle w:val="0"/>
              <w:jc w:val="center"/>
            </w:pPr>
            <w:r>
              <w:rPr>
                <w:sz w:val="20"/>
              </w:rPr>
              <w:t xml:space="preserve">20__ г.</w:t>
            </w:r>
          </w:p>
        </w:tc>
        <w:tc>
          <w:tcPr>
            <w:tcW w:w="763" w:type="dxa"/>
          </w:tcPr>
          <w:p>
            <w:pPr>
              <w:pStyle w:val="0"/>
              <w:jc w:val="center"/>
            </w:pPr>
            <w:r>
              <w:rPr>
                <w:sz w:val="20"/>
              </w:rPr>
              <w:t xml:space="preserve">20__ г.</w:t>
            </w:r>
          </w:p>
        </w:tc>
        <w:tc>
          <w:tcPr>
            <w:tcW w:w="763" w:type="dxa"/>
          </w:tcPr>
          <w:p>
            <w:pPr>
              <w:pStyle w:val="0"/>
              <w:jc w:val="center"/>
            </w:pPr>
            <w:r>
              <w:rPr>
                <w:sz w:val="20"/>
              </w:rPr>
              <w:t xml:space="preserve">20__ г.</w:t>
            </w:r>
          </w:p>
        </w:tc>
        <w:tc>
          <w:tcPr>
            <w:tcW w:w="763" w:type="dxa"/>
          </w:tcPr>
          <w:p>
            <w:pPr>
              <w:pStyle w:val="0"/>
              <w:jc w:val="center"/>
            </w:pPr>
            <w:r>
              <w:rPr>
                <w:sz w:val="20"/>
              </w:rPr>
              <w:t xml:space="preserve">20__ г.</w:t>
            </w:r>
          </w:p>
        </w:tc>
        <w:tc>
          <w:tcPr>
            <w:tcW w:w="763" w:type="dxa"/>
            <w:tcBorders>
              <w:right w:val="nil"/>
            </w:tcBorders>
          </w:tcPr>
          <w:p>
            <w:pPr>
              <w:pStyle w:val="0"/>
              <w:jc w:val="center"/>
            </w:pPr>
            <w:r>
              <w:rPr>
                <w:sz w:val="20"/>
              </w:rPr>
              <w:t xml:space="preserve">20__ г.</w:t>
            </w:r>
          </w:p>
        </w:tc>
      </w:tr>
      <w:tr>
        <w:tblPrEx>
          <w:tblBorders>
            <w:right w:val="nil"/>
          </w:tblBorders>
        </w:tblPrEx>
        <w:tc>
          <w:tcPr>
            <w:tcW w:w="907" w:type="dxa"/>
            <w:tcBorders>
              <w:left w:val="nil"/>
            </w:tcBorders>
          </w:tcPr>
          <w:bookmarkStart w:id="671" w:name="P671"/>
          <w:bookmarkEnd w:id="671"/>
          <w:p>
            <w:pPr>
              <w:pStyle w:val="0"/>
              <w:jc w:val="center"/>
            </w:pPr>
            <w:r>
              <w:rPr>
                <w:sz w:val="20"/>
              </w:rPr>
              <w:t xml:space="preserve">1</w:t>
            </w:r>
          </w:p>
        </w:tc>
        <w:tc>
          <w:tcPr>
            <w:tcW w:w="737" w:type="dxa"/>
          </w:tcPr>
          <w:bookmarkStart w:id="672" w:name="P672"/>
          <w:bookmarkEnd w:id="672"/>
          <w:p>
            <w:pPr>
              <w:pStyle w:val="0"/>
              <w:jc w:val="center"/>
            </w:pPr>
            <w:r>
              <w:rPr>
                <w:sz w:val="20"/>
              </w:rPr>
              <w:t xml:space="preserve">2</w:t>
            </w:r>
          </w:p>
        </w:tc>
        <w:tc>
          <w:tcPr>
            <w:tcW w:w="1020" w:type="dxa"/>
          </w:tcPr>
          <w:bookmarkStart w:id="673" w:name="P673"/>
          <w:bookmarkEnd w:id="673"/>
          <w:p>
            <w:pPr>
              <w:pStyle w:val="0"/>
              <w:jc w:val="center"/>
            </w:pPr>
            <w:r>
              <w:rPr>
                <w:sz w:val="20"/>
              </w:rPr>
              <w:t xml:space="preserve">3</w:t>
            </w:r>
          </w:p>
        </w:tc>
        <w:tc>
          <w:tcPr>
            <w:tcW w:w="1020" w:type="dxa"/>
          </w:tcPr>
          <w:p>
            <w:pPr>
              <w:pStyle w:val="0"/>
              <w:jc w:val="center"/>
            </w:pPr>
            <w:r>
              <w:rPr>
                <w:sz w:val="20"/>
              </w:rPr>
              <w:t xml:space="preserve">3.1</w:t>
            </w:r>
          </w:p>
        </w:tc>
        <w:tc>
          <w:tcPr>
            <w:tcW w:w="1077" w:type="dxa"/>
          </w:tcPr>
          <w:bookmarkStart w:id="675" w:name="P675"/>
          <w:bookmarkEnd w:id="675"/>
          <w:p>
            <w:pPr>
              <w:pStyle w:val="0"/>
              <w:jc w:val="center"/>
            </w:pPr>
            <w:r>
              <w:rPr>
                <w:sz w:val="20"/>
              </w:rPr>
              <w:t xml:space="preserve">4</w:t>
            </w:r>
          </w:p>
        </w:tc>
        <w:tc>
          <w:tcPr>
            <w:tcW w:w="624" w:type="dxa"/>
          </w:tcPr>
          <w:bookmarkStart w:id="676" w:name="P676"/>
          <w:bookmarkEnd w:id="676"/>
          <w:p>
            <w:pPr>
              <w:pStyle w:val="0"/>
              <w:jc w:val="center"/>
            </w:pPr>
            <w:r>
              <w:rPr>
                <w:sz w:val="20"/>
              </w:rPr>
              <w:t xml:space="preserve">5</w:t>
            </w:r>
          </w:p>
        </w:tc>
        <w:tc>
          <w:tcPr>
            <w:tcW w:w="964" w:type="dxa"/>
          </w:tcPr>
          <w:bookmarkStart w:id="677" w:name="P677"/>
          <w:bookmarkEnd w:id="677"/>
          <w:p>
            <w:pPr>
              <w:pStyle w:val="0"/>
              <w:jc w:val="center"/>
            </w:pPr>
            <w:r>
              <w:rPr>
                <w:sz w:val="20"/>
              </w:rPr>
              <w:t xml:space="preserve">5.1</w:t>
            </w:r>
          </w:p>
        </w:tc>
        <w:tc>
          <w:tcPr>
            <w:tcW w:w="964" w:type="dxa"/>
          </w:tcPr>
          <w:bookmarkStart w:id="678" w:name="P678"/>
          <w:bookmarkEnd w:id="678"/>
          <w:p>
            <w:pPr>
              <w:pStyle w:val="0"/>
              <w:jc w:val="center"/>
            </w:pPr>
            <w:r>
              <w:rPr>
                <w:sz w:val="20"/>
              </w:rPr>
              <w:t xml:space="preserve">5.2</w:t>
            </w:r>
          </w:p>
        </w:tc>
        <w:tc>
          <w:tcPr>
            <w:tcW w:w="964" w:type="dxa"/>
          </w:tcPr>
          <w:bookmarkStart w:id="679" w:name="P679"/>
          <w:bookmarkEnd w:id="679"/>
          <w:p>
            <w:pPr>
              <w:pStyle w:val="0"/>
              <w:jc w:val="center"/>
            </w:pPr>
            <w:r>
              <w:rPr>
                <w:sz w:val="20"/>
              </w:rPr>
              <w:t xml:space="preserve">5.3</w:t>
            </w:r>
          </w:p>
        </w:tc>
        <w:tc>
          <w:tcPr>
            <w:tcW w:w="964" w:type="dxa"/>
          </w:tcPr>
          <w:p>
            <w:pPr>
              <w:pStyle w:val="0"/>
              <w:jc w:val="center"/>
            </w:pPr>
            <w:r>
              <w:rPr>
                <w:sz w:val="20"/>
              </w:rPr>
              <w:t xml:space="preserve">6</w:t>
            </w:r>
          </w:p>
        </w:tc>
        <w:tc>
          <w:tcPr>
            <w:tcW w:w="763" w:type="dxa"/>
          </w:tcPr>
          <w:p>
            <w:pPr>
              <w:pStyle w:val="0"/>
              <w:jc w:val="center"/>
            </w:pPr>
            <w:r>
              <w:rPr>
                <w:sz w:val="20"/>
              </w:rPr>
              <w:t xml:space="preserve">7</w:t>
            </w:r>
          </w:p>
        </w:tc>
        <w:tc>
          <w:tcPr>
            <w:tcW w:w="763" w:type="dxa"/>
          </w:tcPr>
          <w:p>
            <w:pPr>
              <w:pStyle w:val="0"/>
              <w:jc w:val="center"/>
            </w:pPr>
            <w:r>
              <w:rPr>
                <w:sz w:val="20"/>
              </w:rPr>
              <w:t xml:space="preserve">8</w:t>
            </w:r>
          </w:p>
        </w:tc>
        <w:tc>
          <w:tcPr>
            <w:tcW w:w="763" w:type="dxa"/>
          </w:tcPr>
          <w:p>
            <w:pPr>
              <w:pStyle w:val="0"/>
              <w:jc w:val="center"/>
            </w:pPr>
            <w:r>
              <w:rPr>
                <w:sz w:val="20"/>
              </w:rPr>
              <w:t xml:space="preserve">9</w:t>
            </w:r>
          </w:p>
        </w:tc>
        <w:tc>
          <w:tcPr>
            <w:tcW w:w="763" w:type="dxa"/>
          </w:tcPr>
          <w:p>
            <w:pPr>
              <w:pStyle w:val="0"/>
              <w:jc w:val="center"/>
            </w:pPr>
            <w:r>
              <w:rPr>
                <w:sz w:val="20"/>
              </w:rPr>
              <w:t xml:space="preserve">10</w:t>
            </w:r>
          </w:p>
        </w:tc>
        <w:tc>
          <w:tcPr>
            <w:tcW w:w="763" w:type="dxa"/>
          </w:tcPr>
          <w:p>
            <w:pPr>
              <w:pStyle w:val="0"/>
              <w:jc w:val="center"/>
            </w:pPr>
            <w:r>
              <w:rPr>
                <w:sz w:val="20"/>
              </w:rPr>
              <w:t xml:space="preserve">11</w:t>
            </w:r>
          </w:p>
        </w:tc>
        <w:tc>
          <w:tcPr>
            <w:tcW w:w="763" w:type="dxa"/>
          </w:tcPr>
          <w:p>
            <w:pPr>
              <w:pStyle w:val="0"/>
              <w:jc w:val="center"/>
            </w:pPr>
            <w:r>
              <w:rPr>
                <w:sz w:val="20"/>
              </w:rPr>
              <w:t xml:space="preserve">12</w:t>
            </w:r>
          </w:p>
        </w:tc>
        <w:tc>
          <w:tcPr>
            <w:tcW w:w="763" w:type="dxa"/>
          </w:tcPr>
          <w:p>
            <w:pPr>
              <w:pStyle w:val="0"/>
              <w:jc w:val="center"/>
            </w:pPr>
            <w:r>
              <w:rPr>
                <w:sz w:val="20"/>
              </w:rPr>
              <w:t xml:space="preserve">13</w:t>
            </w:r>
          </w:p>
        </w:tc>
        <w:tc>
          <w:tcPr>
            <w:tcW w:w="763" w:type="dxa"/>
          </w:tcPr>
          <w:p>
            <w:pPr>
              <w:pStyle w:val="0"/>
              <w:jc w:val="center"/>
            </w:pPr>
            <w:r>
              <w:rPr>
                <w:sz w:val="20"/>
              </w:rPr>
              <w:t xml:space="preserve">14</w:t>
            </w:r>
          </w:p>
        </w:tc>
        <w:tc>
          <w:tcPr>
            <w:tcW w:w="763" w:type="dxa"/>
          </w:tcPr>
          <w:p>
            <w:pPr>
              <w:pStyle w:val="0"/>
              <w:jc w:val="center"/>
            </w:pPr>
            <w:r>
              <w:rPr>
                <w:sz w:val="20"/>
              </w:rPr>
              <w:t xml:space="preserve">15</w:t>
            </w:r>
          </w:p>
        </w:tc>
        <w:tc>
          <w:tcPr>
            <w:tcW w:w="763" w:type="dxa"/>
          </w:tcPr>
          <w:p>
            <w:pPr>
              <w:pStyle w:val="0"/>
              <w:jc w:val="center"/>
            </w:pPr>
            <w:r>
              <w:rPr>
                <w:sz w:val="20"/>
              </w:rPr>
              <w:t xml:space="preserve">16</w:t>
            </w:r>
          </w:p>
        </w:tc>
        <w:tc>
          <w:tcPr>
            <w:tcW w:w="763" w:type="dxa"/>
          </w:tcPr>
          <w:p>
            <w:pPr>
              <w:pStyle w:val="0"/>
              <w:jc w:val="center"/>
            </w:pPr>
            <w:r>
              <w:rPr>
                <w:sz w:val="20"/>
              </w:rPr>
              <w:t xml:space="preserve">17</w:t>
            </w:r>
          </w:p>
        </w:tc>
        <w:tc>
          <w:tcPr>
            <w:tcW w:w="763" w:type="dxa"/>
          </w:tcPr>
          <w:p>
            <w:pPr>
              <w:pStyle w:val="0"/>
              <w:jc w:val="center"/>
            </w:pPr>
            <w:r>
              <w:rPr>
                <w:sz w:val="20"/>
              </w:rPr>
              <w:t xml:space="preserve">18</w:t>
            </w:r>
          </w:p>
        </w:tc>
        <w:tc>
          <w:tcPr>
            <w:tcW w:w="763" w:type="dxa"/>
          </w:tcPr>
          <w:p>
            <w:pPr>
              <w:pStyle w:val="0"/>
              <w:jc w:val="center"/>
            </w:pPr>
            <w:r>
              <w:rPr>
                <w:sz w:val="20"/>
              </w:rPr>
              <w:t xml:space="preserve">19</w:t>
            </w:r>
          </w:p>
        </w:tc>
        <w:tc>
          <w:tcPr>
            <w:tcW w:w="763" w:type="dxa"/>
          </w:tcPr>
          <w:p>
            <w:pPr>
              <w:pStyle w:val="0"/>
              <w:jc w:val="center"/>
            </w:pPr>
            <w:r>
              <w:rPr>
                <w:sz w:val="20"/>
              </w:rPr>
              <w:t xml:space="preserve">20</w:t>
            </w:r>
          </w:p>
        </w:tc>
        <w:tc>
          <w:tcPr>
            <w:tcW w:w="763" w:type="dxa"/>
          </w:tcPr>
          <w:p>
            <w:pPr>
              <w:pStyle w:val="0"/>
              <w:jc w:val="center"/>
            </w:pPr>
            <w:r>
              <w:rPr>
                <w:sz w:val="20"/>
              </w:rPr>
              <w:t xml:space="preserve">21</w:t>
            </w:r>
          </w:p>
        </w:tc>
        <w:tc>
          <w:tcPr>
            <w:tcW w:w="763" w:type="dxa"/>
            <w:tcBorders>
              <w:right w:val="nil"/>
            </w:tcBorders>
          </w:tcPr>
          <w:p>
            <w:pPr>
              <w:pStyle w:val="0"/>
              <w:jc w:val="center"/>
            </w:pPr>
            <w:r>
              <w:rPr>
                <w:sz w:val="20"/>
              </w:rPr>
              <w:t xml:space="preserve">22</w:t>
            </w:r>
          </w:p>
        </w:tc>
      </w:tr>
      <w:tr>
        <w:tc>
          <w:tcPr>
            <w:tcW w:w="907" w:type="dxa"/>
            <w:tcBorders>
              <w:left w:val="nil"/>
            </w:tcBorders>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jc w:val="both"/>
            </w:pPr>
            <w:r>
              <w:rPr>
                <w:sz w:val="20"/>
              </w:rPr>
            </w:r>
          </w:p>
        </w:tc>
        <w:tc>
          <w:tcPr>
            <w:tcW w:w="1020" w:type="dxa"/>
            <w:vMerge w:val="restart"/>
          </w:tcPr>
          <w:p>
            <w:pPr>
              <w:pStyle w:val="0"/>
            </w:pPr>
            <w:r>
              <w:rPr>
                <w:sz w:val="20"/>
              </w:rPr>
            </w:r>
          </w:p>
        </w:tc>
        <w:tc>
          <w:tcPr>
            <w:tcW w:w="1077" w:type="dxa"/>
          </w:tcPr>
          <w:p>
            <w:pPr>
              <w:pStyle w:val="0"/>
            </w:pPr>
            <w:r>
              <w:rPr>
                <w:sz w:val="20"/>
              </w:rPr>
            </w:r>
          </w:p>
        </w:tc>
        <w:tc>
          <w:tcPr>
            <w:tcW w:w="624" w:type="dxa"/>
          </w:tcPr>
          <w:p>
            <w:pPr>
              <w:pStyle w:val="0"/>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jc w:val="center"/>
            </w:pPr>
            <w:r>
              <w:rPr>
                <w:sz w:val="20"/>
              </w:rPr>
              <w:t xml:space="preserve">0101</w:t>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tcW w:w="1077" w:type="dxa"/>
          </w:tcPr>
          <w:p>
            <w:pPr>
              <w:pStyle w:val="0"/>
            </w:pPr>
            <w:r>
              <w:rPr>
                <w:sz w:val="20"/>
              </w:rPr>
            </w:r>
          </w:p>
        </w:tc>
        <w:tc>
          <w:tcPr>
            <w:tcW w:w="624" w:type="dxa"/>
          </w:tcPr>
          <w:p>
            <w:pPr>
              <w:pStyle w:val="0"/>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jc w:val="center"/>
            </w:pPr>
            <w:r>
              <w:rPr>
                <w:sz w:val="20"/>
              </w:rPr>
              <w:t xml:space="preserve">0102</w:t>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r>
      <w:tr>
        <w:tc>
          <w:tcPr>
            <w:tcBorders>
              <w:left w:val="nil"/>
            </w:tcBorders>
            <w:vMerge w:val="continue"/>
          </w:tcPr>
          <w:p/>
        </w:tc>
        <w:tc>
          <w:tcPr>
            <w:vMerge w:val="continue"/>
          </w:tcPr>
          <w:p/>
        </w:tc>
        <w:tc>
          <w:tcPr>
            <w:tcW w:w="1020" w:type="dxa"/>
            <w:vMerge w:val="restart"/>
          </w:tcPr>
          <w:p>
            <w:pPr>
              <w:pStyle w:val="0"/>
              <w:jc w:val="both"/>
            </w:pPr>
            <w:r>
              <w:rPr>
                <w:sz w:val="20"/>
              </w:rPr>
            </w:r>
          </w:p>
        </w:tc>
        <w:tc>
          <w:tcPr>
            <w:tcW w:w="1020" w:type="dxa"/>
            <w:vMerge w:val="restart"/>
          </w:tcPr>
          <w:p>
            <w:pPr>
              <w:pStyle w:val="0"/>
            </w:pPr>
            <w:r>
              <w:rPr>
                <w:sz w:val="20"/>
              </w:rPr>
            </w:r>
          </w:p>
        </w:tc>
        <w:tc>
          <w:tcPr>
            <w:tcW w:w="1077" w:type="dxa"/>
          </w:tcPr>
          <w:p>
            <w:pPr>
              <w:pStyle w:val="0"/>
            </w:pPr>
            <w:r>
              <w:rPr>
                <w:sz w:val="20"/>
              </w:rPr>
            </w:r>
          </w:p>
        </w:tc>
        <w:tc>
          <w:tcPr>
            <w:tcW w:w="624" w:type="dxa"/>
          </w:tcPr>
          <w:p>
            <w:pPr>
              <w:pStyle w:val="0"/>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tcW w:w="1077" w:type="dxa"/>
          </w:tcPr>
          <w:p>
            <w:pPr>
              <w:pStyle w:val="0"/>
            </w:pPr>
            <w:r>
              <w:rPr>
                <w:sz w:val="20"/>
              </w:rPr>
            </w:r>
          </w:p>
        </w:tc>
        <w:tc>
          <w:tcPr>
            <w:tcW w:w="624" w:type="dxa"/>
          </w:tcPr>
          <w:p>
            <w:pPr>
              <w:pStyle w:val="0"/>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r>
      <w:tr>
        <w:tc>
          <w:tcPr>
            <w:gridSpan w:val="10"/>
            <w:tcW w:w="9241" w:type="dxa"/>
            <w:tcBorders>
              <w:left w:val="nil"/>
            </w:tcBorders>
          </w:tcPr>
          <w:p>
            <w:pPr>
              <w:pStyle w:val="0"/>
              <w:jc w:val="right"/>
            </w:pPr>
            <w:r>
              <w:rPr>
                <w:sz w:val="20"/>
              </w:rPr>
              <w:t xml:space="preserve">Итого:</w:t>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jc w:val="center"/>
            </w:pPr>
            <w:r>
              <w:rPr>
                <w:sz w:val="20"/>
              </w:rPr>
              <w:t xml:space="preserve">x</w:t>
            </w:r>
          </w:p>
        </w:tc>
        <w:tc>
          <w:tcPr>
            <w:tcW w:w="763" w:type="dxa"/>
          </w:tcPr>
          <w:p>
            <w:pPr>
              <w:pStyle w:val="0"/>
              <w:jc w:val="center"/>
            </w:pPr>
            <w:r>
              <w:rPr>
                <w:sz w:val="20"/>
              </w:rPr>
              <w:t xml:space="preserve">x</w:t>
            </w:r>
          </w:p>
        </w:tc>
        <w:tc>
          <w:tcPr>
            <w:tcW w:w="763" w:type="dxa"/>
          </w:tcPr>
          <w:p>
            <w:pPr>
              <w:pStyle w:val="0"/>
              <w:jc w:val="center"/>
            </w:pPr>
            <w:r>
              <w:rPr>
                <w:sz w:val="20"/>
              </w:rPr>
              <w:t xml:space="preserve">x</w:t>
            </w:r>
          </w:p>
        </w:tc>
        <w:tc>
          <w:tcPr>
            <w:tcW w:w="763" w:type="dxa"/>
          </w:tcPr>
          <w:p>
            <w:pPr>
              <w:pStyle w:val="0"/>
              <w:jc w:val="center"/>
            </w:pPr>
            <w:r>
              <w:rPr>
                <w:sz w:val="20"/>
              </w:rPr>
              <w:t xml:space="preserve">x</w:t>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r>
      <w:tr>
        <w:tc>
          <w:tcPr>
            <w:tcW w:w="907" w:type="dxa"/>
            <w:tcBorders>
              <w:left w:val="nil"/>
            </w:tcBorders>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jc w:val="both"/>
            </w:pPr>
            <w:r>
              <w:rPr>
                <w:sz w:val="20"/>
              </w:rPr>
            </w:r>
          </w:p>
        </w:tc>
        <w:tc>
          <w:tcPr>
            <w:tcW w:w="1020" w:type="dxa"/>
            <w:vMerge w:val="restart"/>
          </w:tcPr>
          <w:p>
            <w:pPr>
              <w:pStyle w:val="0"/>
            </w:pPr>
            <w:r>
              <w:rPr>
                <w:sz w:val="20"/>
              </w:rPr>
            </w:r>
          </w:p>
        </w:tc>
        <w:tc>
          <w:tcPr>
            <w:tcW w:w="1077" w:type="dxa"/>
          </w:tcPr>
          <w:p>
            <w:pPr>
              <w:pStyle w:val="0"/>
            </w:pPr>
            <w:r>
              <w:rPr>
                <w:sz w:val="20"/>
              </w:rPr>
            </w:r>
          </w:p>
        </w:tc>
        <w:tc>
          <w:tcPr>
            <w:tcW w:w="624" w:type="dxa"/>
          </w:tcPr>
          <w:p>
            <w:pPr>
              <w:pStyle w:val="0"/>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jc w:val="center"/>
            </w:pPr>
            <w:r>
              <w:rPr>
                <w:sz w:val="20"/>
              </w:rPr>
              <w:t xml:space="preserve">0201</w:t>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tcW w:w="1077" w:type="dxa"/>
          </w:tcPr>
          <w:p>
            <w:pPr>
              <w:pStyle w:val="0"/>
            </w:pPr>
            <w:r>
              <w:rPr>
                <w:sz w:val="20"/>
              </w:rPr>
            </w:r>
          </w:p>
        </w:tc>
        <w:tc>
          <w:tcPr>
            <w:tcW w:w="624" w:type="dxa"/>
          </w:tcPr>
          <w:p>
            <w:pPr>
              <w:pStyle w:val="0"/>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jc w:val="center"/>
            </w:pPr>
            <w:r>
              <w:rPr>
                <w:sz w:val="20"/>
              </w:rPr>
              <w:t xml:space="preserve">0202</w:t>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r>
      <w:tr>
        <w:tc>
          <w:tcPr>
            <w:tcBorders>
              <w:left w:val="nil"/>
            </w:tcBorders>
            <w:vMerge w:val="continue"/>
          </w:tcPr>
          <w:p/>
        </w:tc>
        <w:tc>
          <w:tcPr>
            <w:vMerge w:val="continue"/>
          </w:tcPr>
          <w:p/>
        </w:tc>
        <w:tc>
          <w:tcPr>
            <w:tcW w:w="1020" w:type="dxa"/>
            <w:vMerge w:val="restart"/>
          </w:tcPr>
          <w:p>
            <w:pPr>
              <w:pStyle w:val="0"/>
              <w:jc w:val="both"/>
            </w:pPr>
            <w:r>
              <w:rPr>
                <w:sz w:val="20"/>
              </w:rPr>
            </w:r>
          </w:p>
        </w:tc>
        <w:tc>
          <w:tcPr>
            <w:tcW w:w="1020" w:type="dxa"/>
            <w:vMerge w:val="restart"/>
          </w:tcPr>
          <w:p>
            <w:pPr>
              <w:pStyle w:val="0"/>
            </w:pPr>
            <w:r>
              <w:rPr>
                <w:sz w:val="20"/>
              </w:rPr>
            </w:r>
          </w:p>
        </w:tc>
        <w:tc>
          <w:tcPr>
            <w:tcW w:w="1077" w:type="dxa"/>
          </w:tcPr>
          <w:p>
            <w:pPr>
              <w:pStyle w:val="0"/>
            </w:pPr>
            <w:r>
              <w:rPr>
                <w:sz w:val="20"/>
              </w:rPr>
            </w:r>
          </w:p>
        </w:tc>
        <w:tc>
          <w:tcPr>
            <w:tcW w:w="624" w:type="dxa"/>
          </w:tcPr>
          <w:p>
            <w:pPr>
              <w:pStyle w:val="0"/>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tcW w:w="1077" w:type="dxa"/>
          </w:tcPr>
          <w:p>
            <w:pPr>
              <w:pStyle w:val="0"/>
            </w:pPr>
            <w:r>
              <w:rPr>
                <w:sz w:val="20"/>
              </w:rPr>
            </w:r>
          </w:p>
        </w:tc>
        <w:tc>
          <w:tcPr>
            <w:tcW w:w="624" w:type="dxa"/>
          </w:tcPr>
          <w:p>
            <w:pPr>
              <w:pStyle w:val="0"/>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jc w:val="both"/>
            </w:pPr>
            <w:r>
              <w:rPr>
                <w:sz w:val="20"/>
              </w:rPr>
            </w:r>
          </w:p>
        </w:tc>
        <w:tc>
          <w:tcPr>
            <w:tcW w:w="964"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r>
      <w:tr>
        <w:tc>
          <w:tcPr>
            <w:gridSpan w:val="10"/>
            <w:tcW w:w="9241" w:type="dxa"/>
            <w:tcBorders>
              <w:left w:val="nil"/>
              <w:bottom w:val="nil"/>
            </w:tcBorders>
          </w:tcPr>
          <w:bookmarkStart w:id="902" w:name="P902"/>
          <w:bookmarkEnd w:id="902"/>
          <w:p>
            <w:pPr>
              <w:pStyle w:val="0"/>
              <w:jc w:val="right"/>
            </w:pPr>
            <w:r>
              <w:rPr>
                <w:sz w:val="20"/>
              </w:rPr>
              <w:t xml:space="preserve">Итого:</w:t>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jc w:val="center"/>
            </w:pPr>
            <w:r>
              <w:rPr>
                <w:sz w:val="20"/>
              </w:rPr>
              <w:t xml:space="preserve">x</w:t>
            </w:r>
          </w:p>
        </w:tc>
        <w:tc>
          <w:tcPr>
            <w:tcW w:w="763" w:type="dxa"/>
          </w:tcPr>
          <w:p>
            <w:pPr>
              <w:pStyle w:val="0"/>
              <w:jc w:val="center"/>
            </w:pPr>
            <w:r>
              <w:rPr>
                <w:sz w:val="20"/>
              </w:rPr>
              <w:t xml:space="preserve">x</w:t>
            </w:r>
          </w:p>
        </w:tc>
        <w:tc>
          <w:tcPr>
            <w:tcW w:w="763" w:type="dxa"/>
          </w:tcPr>
          <w:p>
            <w:pPr>
              <w:pStyle w:val="0"/>
              <w:jc w:val="center"/>
            </w:pPr>
            <w:r>
              <w:rPr>
                <w:sz w:val="20"/>
              </w:rPr>
              <w:t xml:space="preserve">x</w:t>
            </w:r>
          </w:p>
        </w:tc>
        <w:tc>
          <w:tcPr>
            <w:tcW w:w="763" w:type="dxa"/>
          </w:tcPr>
          <w:p>
            <w:pPr>
              <w:pStyle w:val="0"/>
              <w:jc w:val="center"/>
            </w:pPr>
            <w:r>
              <w:rPr>
                <w:sz w:val="20"/>
              </w:rPr>
              <w:t xml:space="preserve">x</w:t>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c>
          <w:tcPr>
            <w:tcW w:w="763" w:type="dxa"/>
          </w:tcPr>
          <w:p>
            <w:pPr>
              <w:pStyle w:val="0"/>
            </w:pPr>
            <w:r>
              <w:rPr>
                <w:sz w:val="20"/>
              </w:rPr>
            </w:r>
          </w:p>
        </w:tc>
      </w:tr>
    </w:tbl>
    <w:p>
      <w:pPr>
        <w:sectPr>
          <w:headerReference w:type="default" r:id="rId45"/>
          <w:headerReference w:type="first" r:id="rId45"/>
          <w:footerReference w:type="default" r:id="rId46"/>
          <w:footerReference w:type="first" r:id="rId46"/>
          <w:pgSz w:w="16838" w:h="11906" w:orient="landscape"/>
          <w:pgMar w:top="1133" w:right="397" w:bottom="566" w:left="397" w:header="0" w:footer="0" w:gutter="0"/>
          <w:titlePg/>
        </w:sectPr>
      </w:pPr>
    </w:p>
    <w:p>
      <w:pPr>
        <w:pStyle w:val="0"/>
        <w:jc w:val="both"/>
      </w:pPr>
      <w:r>
        <w:rPr>
          <w:sz w:val="20"/>
        </w:rPr>
      </w:r>
    </w:p>
    <w:p>
      <w:pPr>
        <w:pStyle w:val="1"/>
        <w:jc w:val="both"/>
      </w:pPr>
      <w:r>
        <w:rPr>
          <w:sz w:val="20"/>
        </w:rPr>
        <w:t xml:space="preserve">                              Подписи сторон:</w:t>
      </w:r>
    </w:p>
    <w:p>
      <w:pPr>
        <w:pStyle w:val="1"/>
        <w:jc w:val="both"/>
      </w:pPr>
      <w:r>
        <w:rPr>
          <w:sz w:val="20"/>
        </w:rPr>
      </w:r>
    </w:p>
    <w:p>
      <w:pPr>
        <w:pStyle w:val="1"/>
        <w:jc w:val="both"/>
      </w:pPr>
      <w:r>
        <w:rPr>
          <w:sz w:val="20"/>
        </w:rPr>
        <w:t xml:space="preserve">             ___________                 _________________________________</w:t>
      </w:r>
    </w:p>
    <w:p>
      <w:pPr>
        <w:pStyle w:val="1"/>
        <w:jc w:val="both"/>
      </w:pPr>
      <w:r>
        <w:rPr>
          <w:sz w:val="20"/>
        </w:rPr>
        <w:t xml:space="preserve">              (Субъект)                  (Министерство, Агентство, Служба)</w:t>
      </w:r>
    </w:p>
    <w:p>
      <w:pPr>
        <w:pStyle w:val="0"/>
        <w:jc w:val="both"/>
      </w:pPr>
      <w:r>
        <w:rPr>
          <w:sz w:val="20"/>
        </w:rPr>
      </w:r>
    </w:p>
    <w:p>
      <w:pPr>
        <w:pStyle w:val="0"/>
        <w:ind w:firstLine="540"/>
        <w:jc w:val="both"/>
      </w:pPr>
      <w:r>
        <w:rPr>
          <w:sz w:val="20"/>
        </w:rPr>
        <w:t xml:space="preserve">--------------------------------</w:t>
      </w:r>
    </w:p>
    <w:bookmarkStart w:id="926" w:name="P926"/>
    <w:bookmarkEnd w:id="926"/>
    <w:p>
      <w:pPr>
        <w:pStyle w:val="0"/>
        <w:spacing w:before="200" w:lineRule="auto"/>
        <w:ind w:firstLine="540"/>
        <w:jc w:val="both"/>
      </w:pPr>
      <w:r>
        <w:rPr>
          <w:sz w:val="20"/>
        </w:rPr>
        <w:t xml:space="preserve">&lt;1&gt; Указывается наименование федерального проекта. В кодовой </w:t>
      </w:r>
      <w:hyperlink w:history="0" w:anchor="P614" w:tooltip="по БК &lt;1&gt;">
        <w:r>
          <w:rPr>
            <w:sz w:val="20"/>
            <w:color w:val="0000ff"/>
          </w:rPr>
          <w:t xml:space="preserve">зоне</w:t>
        </w:r>
      </w:hyperlink>
      <w:r>
        <w:rPr>
          <w:sz w:val="20"/>
        </w:rPr>
        <w:t xml:space="preserve"> указываются 1 - 5 разряды кода целевой статьи расходов федерального бюджета.</w:t>
      </w:r>
    </w:p>
    <w:bookmarkStart w:id="927" w:name="P927"/>
    <w:bookmarkEnd w:id="927"/>
    <w:p>
      <w:pPr>
        <w:pStyle w:val="0"/>
        <w:spacing w:before="200" w:lineRule="auto"/>
        <w:ind w:firstLine="540"/>
        <w:jc w:val="both"/>
      </w:pPr>
      <w:r>
        <w:rPr>
          <w:sz w:val="20"/>
        </w:rPr>
        <w:t xml:space="preserve">&lt;1.1&gt; Указывается наименование регионального проекта в случае предоставления Иного межбюджетного трансферта в целях софинансирования расходных обязательств субъекта Российской Федерации, возникающих при реализации регионального проекта, обеспечивающего достижение целей, показателей и мероприятий (результатов) федерального проекта, входящего в состав соответствующего национального проекта. В кодовой </w:t>
      </w:r>
      <w:hyperlink w:history="0" w:anchor="P618" w:tooltip="по БК &lt;1.1&gt;">
        <w:r>
          <w:rPr>
            <w:sz w:val="20"/>
            <w:color w:val="0000ff"/>
          </w:rPr>
          <w:t xml:space="preserve">зоне</w:t>
        </w:r>
      </w:hyperlink>
      <w:r>
        <w:rPr>
          <w:sz w:val="20"/>
        </w:rPr>
        <w:t xml:space="preserve"> указываются 4 и 5 разряды кодов целевых статей расходов бюджета субъекта Российской Федерации.</w:t>
      </w:r>
    </w:p>
    <w:bookmarkStart w:id="928" w:name="P928"/>
    <w:bookmarkEnd w:id="928"/>
    <w:p>
      <w:pPr>
        <w:pStyle w:val="0"/>
        <w:spacing w:before="200" w:lineRule="auto"/>
        <w:ind w:firstLine="540"/>
        <w:jc w:val="both"/>
      </w:pPr>
      <w:r>
        <w:rPr>
          <w:sz w:val="20"/>
        </w:rPr>
        <w:t xml:space="preserve">&lt;2&gt; Указывается порядковый номер очередного внесения изменения в приложение.</w:t>
      </w:r>
    </w:p>
    <w:bookmarkStart w:id="929" w:name="P929"/>
    <w:bookmarkEnd w:id="929"/>
    <w:p>
      <w:pPr>
        <w:pStyle w:val="0"/>
        <w:spacing w:before="200" w:lineRule="auto"/>
        <w:ind w:firstLine="540"/>
        <w:jc w:val="both"/>
      </w:pPr>
      <w:r>
        <w:rPr>
          <w:sz w:val="20"/>
        </w:rPr>
        <w:t xml:space="preserve">&lt;3&gt; Указывается наименование направления расходов целевой статьи расходов бюджета субъекта Российской Федерации и соответствующий ему код (13 - 17 разряды кода классификации расходов бюджетов).</w:t>
      </w:r>
    </w:p>
    <w:bookmarkStart w:id="930" w:name="P930"/>
    <w:bookmarkEnd w:id="930"/>
    <w:p>
      <w:pPr>
        <w:pStyle w:val="0"/>
        <w:spacing w:before="200" w:lineRule="auto"/>
        <w:ind w:firstLine="540"/>
        <w:jc w:val="both"/>
      </w:pPr>
      <w:r>
        <w:rPr>
          <w:sz w:val="20"/>
        </w:rPr>
        <w:t xml:space="preserve">&lt;4&gt; Указывается наименование предусмотренного Правилами предоставления иного межбюджетного трансферта результата предоставления Иного межбюджетного трансферта. В случае предоставления Иного межбюджетного трансферта в целях осуществления капитальных вложений в объекты капитального строительства и (или) объекты недвижимого имущества) заполнение </w:t>
      </w:r>
      <w:hyperlink w:history="0" w:anchor="P673" w:tooltip="3">
        <w:r>
          <w:rPr>
            <w:sz w:val="20"/>
            <w:color w:val="0000ff"/>
          </w:rPr>
          <w:t xml:space="preserve">графы 3</w:t>
        </w:r>
      </w:hyperlink>
      <w:r>
        <w:rPr>
          <w:sz w:val="20"/>
        </w:rPr>
        <w:t xml:space="preserve"> является обязательным.</w:t>
      </w:r>
    </w:p>
    <w:bookmarkStart w:id="931" w:name="P931"/>
    <w:bookmarkEnd w:id="931"/>
    <w:p>
      <w:pPr>
        <w:pStyle w:val="0"/>
        <w:spacing w:before="200" w:lineRule="auto"/>
        <w:ind w:firstLine="540"/>
        <w:jc w:val="both"/>
      </w:pPr>
      <w:r>
        <w:rPr>
          <w:sz w:val="20"/>
        </w:rPr>
        <w:t xml:space="preserve">&lt;4.1&gt; Указывается соответствующий результату предоставления Иного межбюджетного трансферта код мероприятия (результата) федерального проекта, автоматически сформированный в государственной интегрированной информационной системе управления общественными финансами "Электронный бюджет" (</w:t>
      </w:r>
      <w:hyperlink w:history="0" r:id="rId48" w:tooltip="Постановление Правительства РФ от 30.06.2015 N 658 (ред. от 07.04.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постановление</w:t>
        </w:r>
      </w:hyperlink>
      <w:r>
        <w:rPr>
          <w:sz w:val="20"/>
        </w:rPr>
        <w:t xml:space="preserve"> Правительства Российской Федерации от 30.06.2015 N 658 "О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bookmarkStart w:id="932" w:name="P932"/>
    <w:bookmarkEnd w:id="932"/>
    <w:p>
      <w:pPr>
        <w:pStyle w:val="0"/>
        <w:spacing w:before="200" w:lineRule="auto"/>
        <w:ind w:firstLine="540"/>
        <w:jc w:val="both"/>
      </w:pPr>
      <w:r>
        <w:rPr>
          <w:sz w:val="20"/>
        </w:rPr>
        <w:t xml:space="preserve">&lt;5&gt; Заполняется в случаях предоставления Иного межбюджетного трансферта в целях осуществления капитальных вложений в объекты капитального строительства и (или) недвижимого имущества (софинансирования расходных обязательств субъекта Российской Федерации, возникающих при выполнении работ по капитальному ремонту объектов недвижимого имущества, в случае если Правилами предоставления иного межбюджетного трансферта предусмотрено положение об адресном (пообъектном) распределении Иного межбюджетного трансферта по объектам недвижимого имущества). В </w:t>
      </w:r>
      <w:hyperlink w:history="0" w:anchor="P675" w:tooltip="4">
        <w:r>
          <w:rPr>
            <w:sz w:val="20"/>
            <w:color w:val="0000ff"/>
          </w:rPr>
          <w:t xml:space="preserve">графе 4</w:t>
        </w:r>
      </w:hyperlink>
      <w:r>
        <w:rPr>
          <w:sz w:val="20"/>
        </w:rPr>
        <w:t xml:space="preserve"> указывается наименование объекта капитального строительства (объекта недвижимого имущества). В </w:t>
      </w:r>
      <w:hyperlink w:history="0" w:anchor="P676" w:tooltip="5">
        <w:r>
          <w:rPr>
            <w:sz w:val="20"/>
            <w:color w:val="0000ff"/>
          </w:rPr>
          <w:t xml:space="preserve">графе 5</w:t>
        </w:r>
      </w:hyperlink>
      <w:r>
        <w:rPr>
          <w:sz w:val="20"/>
        </w:rPr>
        <w:t xml:space="preserve"> указывается код объекта капитального строительства (объекта недвижимого имущества) в соответствии со справочником государственной интегрированной информационной системы управления общественными финансами "Электронный бюджет". В </w:t>
      </w:r>
      <w:hyperlink w:history="0" w:anchor="P677" w:tooltip="5.1">
        <w:r>
          <w:rPr>
            <w:sz w:val="20"/>
            <w:color w:val="0000ff"/>
          </w:rPr>
          <w:t xml:space="preserve">графах 5.1</w:t>
        </w:r>
      </w:hyperlink>
      <w:r>
        <w:rPr>
          <w:sz w:val="20"/>
        </w:rPr>
        <w:t xml:space="preserve"> и </w:t>
      </w:r>
      <w:hyperlink w:history="0" w:anchor="P678" w:tooltip="5.2">
        <w:r>
          <w:rPr>
            <w:sz w:val="20"/>
            <w:color w:val="0000ff"/>
          </w:rPr>
          <w:t xml:space="preserve">5.2</w:t>
        </w:r>
      </w:hyperlink>
      <w:r>
        <w:rPr>
          <w:sz w:val="20"/>
        </w:rPr>
        <w:t xml:space="preserve"> указываются код по </w:t>
      </w:r>
      <w:hyperlink w:history="0" r:id="rId4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19/2025) {КонсультантПлюс}">
        <w:r>
          <w:rPr>
            <w:sz w:val="20"/>
            <w:color w:val="0000ff"/>
          </w:rPr>
          <w:t xml:space="preserve">ОКТМО</w:t>
        </w:r>
      </w:hyperlink>
      <w:r>
        <w:rPr>
          <w:sz w:val="20"/>
        </w:rPr>
        <w:t xml:space="preserve"> и наименование муниципального образования, на территории которого находится объект капитального строительства (объект недвижимого имущества). В </w:t>
      </w:r>
      <w:hyperlink w:history="0" w:anchor="P679" w:tooltip="5.3">
        <w:r>
          <w:rPr>
            <w:sz w:val="20"/>
            <w:color w:val="0000ff"/>
          </w:rPr>
          <w:t xml:space="preserve">графе 5.3</w:t>
        </w:r>
      </w:hyperlink>
      <w:r>
        <w:rPr>
          <w:sz w:val="20"/>
        </w:rPr>
        <w:t xml:space="preserve"> указывается адрес объекта капитального строительства (объекта недвижимого имущества (при наличии) согласно данным федеральной информационной адресной системы.</w:t>
      </w:r>
    </w:p>
    <w:bookmarkStart w:id="933" w:name="P933"/>
    <w:bookmarkEnd w:id="933"/>
    <w:p>
      <w:pPr>
        <w:pStyle w:val="0"/>
        <w:spacing w:before="200" w:lineRule="auto"/>
        <w:ind w:firstLine="540"/>
        <w:jc w:val="both"/>
      </w:pPr>
      <w:r>
        <w:rPr>
          <w:sz w:val="20"/>
        </w:rPr>
        <w:t xml:space="preserve">&lt;6&gt; Заполняется при наличии в соглашении условия, предусмотренного </w:t>
      </w:r>
      <w:hyperlink w:history="0" w:anchor="P172" w:tooltip="в) исходя из уровней софинансирования, выраженных в процентах от объема расходного обязательства субъекта Российской Федерации (исходя из уровня софинансирования, выраженного в процентах по каждому результату предоставления Иного межбюджетного трансферта, в том числе объекту капитального строительства государственной собственности субъекта Российской Федерации (муниципальной собственности) и (или) объекту недвижимого имущества, приобретаемому в государственную собственность субъекта Российской Федерации ...">
        <w:r>
          <w:rPr>
            <w:sz w:val="20"/>
            <w:color w:val="0000ff"/>
          </w:rPr>
          <w:t xml:space="preserve">подпунктом "в" пункта 2.2</w:t>
        </w:r>
      </w:hyperlink>
      <w:r>
        <w:rPr>
          <w:sz w:val="20"/>
        </w:rPr>
        <w:t xml:space="preserve"> настоящей Типовой формы соглашения. Указывается уровень софинансирования, выраженный в процентах от объема расходного обязательства субъекта Российской Федерации.</w:t>
      </w:r>
    </w:p>
    <w:bookmarkStart w:id="934" w:name="P934"/>
    <w:bookmarkEnd w:id="934"/>
    <w:p>
      <w:pPr>
        <w:pStyle w:val="0"/>
        <w:spacing w:before="200" w:lineRule="auto"/>
        <w:ind w:firstLine="540"/>
        <w:jc w:val="both"/>
      </w:pPr>
      <w:r>
        <w:rPr>
          <w:sz w:val="20"/>
        </w:rPr>
        <w:t xml:space="preserve">&lt;7&gt; Указывается справочно в случае предоставления Иного межбюджетного трансферта для последующего предоставления соответствующего межбюджетного трансферта, имеющего целевое назначение,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(на финансовое обеспечение расходных обязательств муниципальных образований, возникающих при выполнении государственных полномочий субъекта Российской Федерации, переданных для осуществления органам местного самоуправления).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Типовой форме соглашения</w:t>
      </w:r>
    </w:p>
    <w:p>
      <w:pPr>
        <w:pStyle w:val="0"/>
        <w:jc w:val="right"/>
      </w:pPr>
      <w:r>
        <w:rPr>
          <w:sz w:val="20"/>
        </w:rPr>
        <w:t xml:space="preserve">о предоставлении иного</w:t>
      </w:r>
    </w:p>
    <w:p>
      <w:pPr>
        <w:pStyle w:val="0"/>
        <w:jc w:val="right"/>
      </w:pPr>
      <w:r>
        <w:rPr>
          <w:sz w:val="20"/>
        </w:rPr>
        <w:t xml:space="preserve">межбюджетного трансферта,</w:t>
      </w:r>
    </w:p>
    <w:p>
      <w:pPr>
        <w:pStyle w:val="0"/>
        <w:jc w:val="right"/>
      </w:pPr>
      <w:r>
        <w:rPr>
          <w:sz w:val="20"/>
        </w:rPr>
        <w:t xml:space="preserve">имеющего целевое назначение,</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Минфина России от 08.10.2019 </w:t>
            </w:r>
            <w:hyperlink w:history="0" r:id="rId50" w:tooltip="Приказ Минфина России от 08.10.2019 N 161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22.11.2019 N 56610) {КонсультантПлюс}">
              <w:r>
                <w:rPr>
                  <w:sz w:val="20"/>
                  <w:color w:val="0000ff"/>
                </w:rPr>
                <w:t xml:space="preserve">N 161н</w:t>
              </w:r>
            </w:hyperlink>
            <w:r>
              <w:rPr>
                <w:sz w:val="20"/>
                <w:color w:val="392c69"/>
              </w:rPr>
              <w:t xml:space="preserve">,</w:t>
            </w:r>
          </w:p>
          <w:p>
            <w:pPr>
              <w:pStyle w:val="0"/>
              <w:jc w:val="center"/>
            </w:pPr>
            <w:r>
              <w:rPr>
                <w:sz w:val="20"/>
                <w:color w:val="392c69"/>
              </w:rPr>
              <w:t xml:space="preserve">от 09.12.2020 </w:t>
            </w:r>
            <w:hyperlink w:history="0" r:id="rId51" w:tooltip="Приказ Минфина России от 09.12.2020 N 300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9.02.2021 N 62573) {КонсультантПлюс}">
              <w:r>
                <w:rPr>
                  <w:sz w:val="20"/>
                  <w:color w:val="0000ff"/>
                </w:rPr>
                <w:t xml:space="preserve">N 300н</w:t>
              </w:r>
            </w:hyperlink>
            <w:r>
              <w:rPr>
                <w:sz w:val="20"/>
                <w:color w:val="392c69"/>
              </w:rPr>
              <w:t xml:space="preserve">, от 24.12.2021 </w:t>
            </w:r>
            <w:hyperlink w:history="0" r:id="rId52" w:tooltip="Приказ Минфина России от 24.12.2021 N 228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 {КонсультантПлюс}">
              <w:r>
                <w:rPr>
                  <w:sz w:val="20"/>
                  <w:color w:val="0000ff"/>
                </w:rPr>
                <w:t xml:space="preserve">N 228н</w:t>
              </w:r>
            </w:hyperlink>
            <w:r>
              <w:rPr>
                <w:sz w:val="20"/>
                <w:color w:val="392c69"/>
              </w:rPr>
              <w:t xml:space="preserve">, от 14.08.2023 </w:t>
            </w:r>
            <w:hyperlink w:history="0" r:id="rId53" w:tooltip="Приказ Минфина России от 14.08.2023 N 133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5.09.2023 N 75245) {КонсультантПлюс}">
              <w:r>
                <w:rPr>
                  <w:sz w:val="20"/>
                  <w:color w:val="0000ff"/>
                </w:rPr>
                <w:t xml:space="preserve">N 133н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"Приложение N ___</w:t>
      </w:r>
    </w:p>
    <w:p>
      <w:pPr>
        <w:pStyle w:val="0"/>
        <w:jc w:val="right"/>
      </w:pPr>
      <w:r>
        <w:rPr>
          <w:sz w:val="20"/>
        </w:rPr>
        <w:t xml:space="preserve">к Соглашению</w:t>
      </w:r>
    </w:p>
    <w:p>
      <w:pPr>
        <w:pStyle w:val="0"/>
        <w:jc w:val="right"/>
      </w:pPr>
      <w:r>
        <w:rPr>
          <w:sz w:val="20"/>
        </w:rPr>
        <w:t xml:space="preserve">от "__" ________ 20__ г. N ___</w:t>
      </w:r>
    </w:p>
    <w:p>
      <w:pPr>
        <w:pStyle w:val="0"/>
        <w:jc w:val="right"/>
      </w:pPr>
      <w:r>
        <w:rPr>
          <w:sz w:val="20"/>
        </w:rPr>
        <w:t xml:space="preserve">(Приложение N ___</w:t>
      </w:r>
    </w:p>
    <w:p>
      <w:pPr>
        <w:pStyle w:val="0"/>
        <w:jc w:val="right"/>
      </w:pPr>
      <w:r>
        <w:rPr>
          <w:sz w:val="20"/>
        </w:rPr>
        <w:t xml:space="preserve">к Дополнительному соглашению</w:t>
      </w:r>
    </w:p>
    <w:p>
      <w:pPr>
        <w:pStyle w:val="0"/>
        <w:jc w:val="right"/>
      </w:pPr>
      <w:r>
        <w:rPr>
          <w:sz w:val="20"/>
        </w:rPr>
        <w:t xml:space="preserve">от "__" _______ 20__ г. N ___)</w:t>
      </w:r>
    </w:p>
    <w:p>
      <w:pPr>
        <w:pStyle w:val="0"/>
        <w:jc w:val="both"/>
      </w:pPr>
      <w:r>
        <w:rPr>
          <w:sz w:val="20"/>
        </w:rPr>
      </w:r>
    </w:p>
    <w:bookmarkStart w:id="962" w:name="P962"/>
    <w:bookmarkEnd w:id="962"/>
    <w:p>
      <w:pPr>
        <w:pStyle w:val="1"/>
        <w:jc w:val="both"/>
      </w:pPr>
      <w:r>
        <w:rPr>
          <w:sz w:val="20"/>
        </w:rPr>
        <w:t xml:space="preserve">    Значения результатов предоставления Иного межбюджетного трансферта</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3628"/>
        <w:gridCol w:w="3288"/>
        <w:gridCol w:w="1303"/>
        <w:gridCol w:w="850"/>
      </w:tblGrid>
      <w:tr>
        <w:tc>
          <w:tcPr>
            <w:tcW w:w="3628" w:type="dxa"/>
            <w:tcBorders>
              <w:top w:val="nil"/>
              <w:left w:val="nil"/>
              <w:bottom w:val="nil"/>
              <w:right w:val="nil"/>
            </w:tcBorders>
          </w:tcPr>
          <w:p>
            <w:pPr>
              <w:pStyle w:val="0"/>
            </w:pPr>
            <w:r>
              <w:rPr>
                <w:sz w:val="20"/>
              </w:rPr>
            </w:r>
          </w:p>
        </w:tc>
        <w:tc>
          <w:tcPr>
            <w:tcW w:w="3288" w:type="dxa"/>
            <w:tcBorders>
              <w:top w:val="nil"/>
              <w:left w:val="nil"/>
              <w:bottom w:val="nil"/>
              <w:right w:val="nil"/>
            </w:tcBorders>
          </w:tcPr>
          <w:p>
            <w:pPr>
              <w:pStyle w:val="0"/>
            </w:pPr>
            <w:r>
              <w:rPr>
                <w:sz w:val="20"/>
              </w:rPr>
            </w:r>
          </w:p>
        </w:tc>
        <w:tc>
          <w:tcPr>
            <w:tcW w:w="1303" w:type="dxa"/>
            <w:tcBorders>
              <w:top w:val="nil"/>
              <w:left w:val="nil"/>
              <w:bottom w:val="nil"/>
              <w:right w:val="single" w:sz="4"/>
            </w:tcBorders>
          </w:tcPr>
          <w:p>
            <w:pPr>
              <w:pStyle w:val="0"/>
            </w:pPr>
            <w:r>
              <w:rPr>
                <w:sz w:val="20"/>
              </w:rPr>
            </w:r>
          </w:p>
        </w:tc>
        <w:tc>
          <w:tcPr>
            <w:tcW w:w="850" w:type="dxa"/>
            <w:tcBorders>
              <w:top w:val="single" w:sz="4"/>
              <w:left w:val="single" w:sz="4"/>
              <w:bottom w:val="single" w:sz="4"/>
              <w:right w:val="single" w:sz="4"/>
            </w:tcBorders>
          </w:tcPr>
          <w:p>
            <w:pPr>
              <w:pStyle w:val="0"/>
              <w:jc w:val="center"/>
            </w:pPr>
            <w:r>
              <w:rPr>
                <w:sz w:val="20"/>
              </w:rPr>
              <w:t xml:space="preserve">Коды</w:t>
            </w:r>
          </w:p>
        </w:tc>
      </w:tr>
      <w:tr>
        <w:tc>
          <w:tcPr>
            <w:tcW w:w="3628" w:type="dxa"/>
            <w:tcBorders>
              <w:top w:val="nil"/>
              <w:left w:val="nil"/>
              <w:bottom w:val="nil"/>
              <w:right w:val="nil"/>
            </w:tcBorders>
          </w:tcPr>
          <w:p>
            <w:pPr>
              <w:pStyle w:val="0"/>
            </w:pPr>
            <w:r>
              <w:rPr>
                <w:sz w:val="20"/>
              </w:rPr>
              <w:t xml:space="preserve">Наименование высшего исполнительного органа субъекта Российской Федерации</w:t>
            </w:r>
          </w:p>
        </w:tc>
        <w:tc>
          <w:tcPr>
            <w:tcW w:w="3288" w:type="dxa"/>
            <w:tcBorders>
              <w:top w:val="nil"/>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tcBorders>
              <w:top w:val="single" w:sz="4"/>
              <w:left w:val="single" w:sz="4"/>
              <w:bottom w:val="single" w:sz="4"/>
              <w:right w:val="single" w:sz="4"/>
            </w:tcBorders>
          </w:tcPr>
          <w:p>
            <w:pPr>
              <w:pStyle w:val="0"/>
            </w:pPr>
            <w:r>
              <w:rPr>
                <w:sz w:val="20"/>
              </w:rPr>
            </w:r>
          </w:p>
        </w:tc>
      </w:tr>
      <w:tr>
        <w:tc>
          <w:tcPr>
            <w:tcW w:w="3628" w:type="dxa"/>
            <w:tcBorders>
              <w:top w:val="nil"/>
              <w:left w:val="nil"/>
              <w:bottom w:val="nil"/>
              <w:right w:val="nil"/>
            </w:tcBorders>
          </w:tcPr>
          <w:p>
            <w:pPr>
              <w:pStyle w:val="0"/>
            </w:pPr>
            <w:r>
              <w:rPr>
                <w:sz w:val="20"/>
              </w:rPr>
              <w:t xml:space="preserve">Наименование субъекта Российской Федерации</w:t>
            </w:r>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jc w:val="right"/>
            </w:pPr>
            <w:r>
              <w:rPr>
                <w:sz w:val="20"/>
              </w:rPr>
              <w:t xml:space="preserve">по </w:t>
            </w:r>
            <w:hyperlink w:history="0" r:id="rId5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19/2025) {КонсультантПлюс}">
              <w:r>
                <w:rPr>
                  <w:sz w:val="20"/>
                  <w:color w:val="0000ff"/>
                </w:rPr>
                <w:t xml:space="preserve">ОКТМО</w:t>
              </w:r>
            </w:hyperlink>
          </w:p>
        </w:tc>
        <w:tc>
          <w:tcPr>
            <w:tcW w:w="850" w:type="dxa"/>
            <w:tcBorders>
              <w:top w:val="single" w:sz="4"/>
              <w:left w:val="single" w:sz="4"/>
              <w:bottom w:val="single" w:sz="4"/>
              <w:right w:val="single" w:sz="4"/>
            </w:tcBorders>
          </w:tcPr>
          <w:p>
            <w:pPr>
              <w:pStyle w:val="0"/>
            </w:pPr>
            <w:r>
              <w:rPr>
                <w:sz w:val="20"/>
              </w:rPr>
            </w:r>
          </w:p>
        </w:tc>
      </w:tr>
      <w:tr>
        <w:tc>
          <w:tcPr>
            <w:tcW w:w="3628" w:type="dxa"/>
            <w:tcBorders>
              <w:top w:val="nil"/>
              <w:left w:val="nil"/>
              <w:bottom w:val="nil"/>
              <w:right w:val="nil"/>
            </w:tcBorders>
          </w:tcPr>
          <w:p>
            <w:pPr>
              <w:pStyle w:val="0"/>
            </w:pPr>
            <w:r>
              <w:rPr>
                <w:sz w:val="20"/>
              </w:rPr>
              <w:t xml:space="preserve">Наименование главного распорядителя средств федерального бюджета</w:t>
            </w:r>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tcBorders>
              <w:top w:val="single" w:sz="4"/>
              <w:left w:val="single" w:sz="4"/>
              <w:bottom w:val="single" w:sz="4"/>
              <w:right w:val="single" w:sz="4"/>
            </w:tcBorders>
          </w:tcPr>
          <w:p>
            <w:pPr>
              <w:pStyle w:val="0"/>
            </w:pPr>
            <w:r>
              <w:rPr>
                <w:sz w:val="20"/>
              </w:rPr>
            </w:r>
          </w:p>
        </w:tc>
      </w:tr>
      <w:tr>
        <w:tc>
          <w:tcPr>
            <w:tcW w:w="3628"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(Министерство, Агентство, Служба)</w:t>
            </w:r>
          </w:p>
        </w:tc>
        <w:tc>
          <w:tcPr>
            <w:tcW w:w="1303" w:type="dxa"/>
            <w:vAlign w:val="bottom"/>
            <w:tcBorders>
              <w:top w:val="nil"/>
              <w:left w:val="nil"/>
              <w:bottom w:val="nil"/>
              <w:right w:val="single" w:sz="4"/>
            </w:tcBorders>
          </w:tcPr>
          <w:p>
            <w:pPr>
              <w:pStyle w:val="0"/>
            </w:pPr>
            <w:r>
              <w:rPr>
                <w:sz w:val="20"/>
              </w:rPr>
            </w:r>
          </w:p>
        </w:tc>
        <w:tc>
          <w:tcPr>
            <w:tcW w:w="850" w:type="dxa"/>
            <w:tcBorders>
              <w:top w:val="single" w:sz="4"/>
              <w:left w:val="single" w:sz="4"/>
              <w:bottom w:val="nil"/>
              <w:right w:val="single" w:sz="4"/>
            </w:tcBorders>
          </w:tcPr>
          <w:p>
            <w:pPr>
              <w:pStyle w:val="0"/>
            </w:pPr>
            <w:r>
              <w:rPr>
                <w:sz w:val="20"/>
              </w:rPr>
            </w:r>
          </w:p>
        </w:tc>
      </w:tr>
      <w:tr>
        <w:tc>
          <w:tcPr>
            <w:tcW w:w="3628" w:type="dxa"/>
            <w:tcBorders>
              <w:top w:val="nil"/>
              <w:left w:val="nil"/>
              <w:bottom w:val="nil"/>
              <w:right w:val="nil"/>
            </w:tcBorders>
          </w:tcPr>
          <w:p>
            <w:pPr>
              <w:pStyle w:val="0"/>
            </w:pPr>
            <w:r>
              <w:rPr>
                <w:sz w:val="20"/>
              </w:rPr>
              <w:t xml:space="preserve">Наименование федерального проекта </w:t>
            </w:r>
            <w:hyperlink w:history="0" w:anchor="P1126" w:tooltip="&lt;1&gt; Указывается наименование федерального проекта. В кодовой зоне указываются 1 - 5 разряды кода целевой статьи расходов федерального бюджета.">
              <w:r>
                <w:rPr>
                  <w:sz w:val="20"/>
                  <w:color w:val="0000ff"/>
                </w:rPr>
                <w:t xml:space="preserve">&lt;1&gt;</w:t>
              </w:r>
            </w:hyperlink>
          </w:p>
        </w:tc>
        <w:tc>
          <w:tcPr>
            <w:tcW w:w="3288" w:type="dxa"/>
            <w:tcBorders>
              <w:top w:val="nil"/>
              <w:left w:val="nil"/>
              <w:bottom w:val="single" w:sz="4"/>
              <w:right w:val="nil"/>
            </w:tcBorders>
          </w:tcPr>
          <w:p>
            <w:pPr>
              <w:pStyle w:val="0"/>
            </w:pPr>
            <w:r>
              <w:rPr>
                <w:sz w:val="20"/>
              </w:rPr>
            </w:r>
          </w:p>
        </w:tc>
        <w:tc>
          <w:tcPr>
            <w:tcW w:w="1303" w:type="dxa"/>
            <w:vAlign w:val="bottom"/>
            <w:tcBorders>
              <w:top w:val="nil"/>
              <w:left w:val="nil"/>
              <w:bottom w:val="nil"/>
              <w:right w:val="single" w:sz="4"/>
            </w:tcBorders>
          </w:tcPr>
          <w:bookmarkStart w:id="986" w:name="P986"/>
          <w:bookmarkEnd w:id="986"/>
          <w:p>
            <w:pPr>
              <w:pStyle w:val="0"/>
              <w:jc w:val="right"/>
            </w:pPr>
            <w:r>
              <w:rPr>
                <w:sz w:val="20"/>
              </w:rPr>
              <w:t xml:space="preserve">по БК </w:t>
            </w:r>
            <w:hyperlink w:history="0" w:anchor="P1126" w:tooltip="&lt;1&gt; Указывается наименование федерального проекта. В кодовой зоне указываются 1 - 5 разряды кода целевой статьи расходов федерального бюджета.">
              <w:r>
                <w:rPr>
                  <w:sz w:val="20"/>
                  <w:color w:val="0000ff"/>
                </w:rPr>
                <w:t xml:space="preserve">&lt;1&gt;</w:t>
              </w:r>
            </w:hyperlink>
          </w:p>
        </w:tc>
        <w:tc>
          <w:tcPr>
            <w:tcW w:w="850" w:type="dxa"/>
            <w:tcBorders>
              <w:top w:val="nil"/>
              <w:left w:val="single" w:sz="4"/>
              <w:bottom w:val="single" w:sz="4"/>
              <w:right w:val="single" w:sz="4"/>
            </w:tcBorders>
          </w:tcPr>
          <w:p>
            <w:pPr>
              <w:pStyle w:val="0"/>
            </w:pPr>
            <w:r>
              <w:rPr>
                <w:sz w:val="20"/>
              </w:rPr>
            </w:r>
          </w:p>
        </w:tc>
      </w:tr>
      <w:tr>
        <w:tc>
          <w:tcPr>
            <w:tcW w:w="3628" w:type="dxa"/>
            <w:tcBorders>
              <w:top w:val="nil"/>
              <w:left w:val="nil"/>
              <w:bottom w:val="nil"/>
              <w:right w:val="nil"/>
            </w:tcBorders>
          </w:tcPr>
          <w:p>
            <w:pPr>
              <w:pStyle w:val="0"/>
            </w:pPr>
            <w:r>
              <w:rPr>
                <w:sz w:val="20"/>
              </w:rPr>
              <w:t xml:space="preserve">Наименование регионального проекта </w:t>
            </w:r>
            <w:hyperlink w:history="0" w:anchor="P1127" w:tooltip="&lt;1.1&gt; Указывается наименование регионального проекта в случае предоставления Иного межбюджетного трансферта в целях софинансирования расходных обязательств субъекта Российской Федерации, возникающих при реализации регионального проекта, обеспечивающего достижение целей, показателей и мероприятий (результатов) федерального проекта, входящего в состав соответствующего национального проекта. В кодовой зоне указываются 4 и 5 разряды кодов целевых статей расходов бюджета субъекта Российской Федерации.">
              <w:r>
                <w:rPr>
                  <w:sz w:val="20"/>
                  <w:color w:val="0000ff"/>
                </w:rPr>
                <w:t xml:space="preserve">&lt;1.1&gt;</w:t>
              </w:r>
            </w:hyperlink>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bookmarkStart w:id="990" w:name="P990"/>
          <w:bookmarkEnd w:id="990"/>
          <w:p>
            <w:pPr>
              <w:pStyle w:val="0"/>
              <w:jc w:val="right"/>
            </w:pPr>
            <w:r>
              <w:rPr>
                <w:sz w:val="20"/>
              </w:rPr>
              <w:t xml:space="preserve">по БК </w:t>
            </w:r>
            <w:hyperlink w:history="0" w:anchor="P1127" w:tooltip="&lt;1.1&gt; Указывается наименование регионального проекта в случае предоставления Иного межбюджетного трансферта в целях софинансирования расходных обязательств субъекта Российской Федерации, возникающих при реализации регионального проекта, обеспечивающего достижение целей, показателей и мероприятий (результатов) федерального проекта, входящего в состав соответствующего национального проекта. В кодовой зоне указываются 4 и 5 разряды кодов целевых статей расходов бюджета субъекта Российской Федерации.">
              <w:r>
                <w:rPr>
                  <w:sz w:val="20"/>
                  <w:color w:val="0000ff"/>
                </w:rPr>
                <w:t xml:space="preserve">&lt;1.1&gt;</w:t>
              </w:r>
            </w:hyperlink>
          </w:p>
        </w:tc>
        <w:tc>
          <w:tcPr>
            <w:tcW w:w="850" w:type="dxa"/>
            <w:tcBorders>
              <w:top w:val="single" w:sz="4"/>
              <w:left w:val="single" w:sz="4"/>
              <w:bottom w:val="single" w:sz="4"/>
              <w:right w:val="single" w:sz="4"/>
            </w:tcBorders>
          </w:tcPr>
          <w:p>
            <w:pPr>
              <w:pStyle w:val="0"/>
            </w:pPr>
            <w:r>
              <w:rPr>
                <w:sz w:val="20"/>
              </w:rPr>
            </w:r>
          </w:p>
        </w:tc>
      </w:tr>
      <w:tr>
        <w:tblPrEx>
          <w:tblBorders>
            <w:insideH w:val="single" w:sz="4"/>
          </w:tblBorders>
        </w:tblPrEx>
        <w:tc>
          <w:tcPr>
            <w:tcW w:w="3628" w:type="dxa"/>
            <w:tcBorders>
              <w:top w:val="nil"/>
              <w:left w:val="nil"/>
              <w:bottom w:val="nil"/>
              <w:right w:val="nil"/>
            </w:tcBorders>
          </w:tcPr>
          <w:p>
            <w:pPr>
              <w:pStyle w:val="0"/>
            </w:pPr>
            <w:r>
              <w:rPr>
                <w:sz w:val="20"/>
              </w:rPr>
              <w:t xml:space="preserve">Вид документа</w:t>
            </w:r>
          </w:p>
        </w:tc>
        <w:tc>
          <w:tcPr>
            <w:tcW w:w="3288" w:type="dxa"/>
            <w:tcBorders>
              <w:top w:val="single" w:sz="4"/>
              <w:left w:val="nil"/>
              <w:bottom w:val="single" w:sz="4"/>
              <w:right w:val="nil"/>
            </w:tcBorders>
          </w:tcPr>
          <w:p>
            <w:pPr>
              <w:pStyle w:val="0"/>
            </w:pPr>
            <w:r>
              <w:rPr>
                <w:sz w:val="20"/>
              </w:rPr>
            </w:r>
          </w:p>
        </w:tc>
        <w:tc>
          <w:tcPr>
            <w:tcW w:w="1303" w:type="dxa"/>
            <w:tcBorders>
              <w:top w:val="nil"/>
              <w:left w:val="nil"/>
              <w:bottom w:val="single" w:sz="4"/>
              <w:right w:val="single" w:sz="4"/>
            </w:tcBorders>
          </w:tcPr>
          <w:p>
            <w:pPr>
              <w:pStyle w:val="0"/>
            </w:pPr>
            <w:r>
              <w:rPr>
                <w:sz w:val="20"/>
              </w:rPr>
            </w:r>
          </w:p>
        </w:tc>
        <w:tc>
          <w:tcPr>
            <w:tcW w:w="850" w:type="dxa"/>
            <w:tcBorders>
              <w:top w:val="single" w:sz="4"/>
              <w:left w:val="single" w:sz="4"/>
              <w:bottom w:val="single" w:sz="4"/>
              <w:right w:val="single" w:sz="4"/>
            </w:tcBorders>
          </w:tcPr>
          <w:p>
            <w:pPr>
              <w:pStyle w:val="0"/>
            </w:pPr>
            <w:r>
              <w:rPr>
                <w:sz w:val="20"/>
              </w:rPr>
            </w:r>
          </w:p>
        </w:tc>
      </w:tr>
      <w:tr>
        <w:tblPrEx>
          <w:tblBorders>
            <w:right w:val="nil"/>
            <w:insideH w:val="single" w:sz="4"/>
          </w:tblBorders>
        </w:tblPrEx>
        <w:tc>
          <w:tcPr>
            <w:tcW w:w="3628"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(первичный - "0", измененный </w:t>
            </w:r>
            <w:hyperlink w:history="0" w:anchor="P1128" w:tooltip="&lt;2&gt; Указывается порядковый номер очередного внесения изменения в приложение.">
              <w:r>
                <w:rPr>
                  <w:sz w:val="20"/>
                  <w:color w:val="0000ff"/>
                </w:rPr>
                <w:t xml:space="preserve">&lt;2&gt;</w:t>
              </w:r>
            </w:hyperlink>
            <w:r>
              <w:rPr>
                <w:sz w:val="20"/>
              </w:rPr>
              <w:t xml:space="preserve"> - "1", "2", "3", "...")</w:t>
            </w:r>
          </w:p>
        </w:tc>
        <w:tc>
          <w:tcPr>
            <w:gridSpan w:val="2"/>
            <w:tcW w:w="2153" w:type="dxa"/>
            <w:tcBorders>
              <w:top w:val="single" w:sz="4"/>
              <w:left w:val="nil"/>
              <w:bottom w:val="nil"/>
              <w:right w:val="nil"/>
            </w:tcBorders>
          </w:tcPr>
          <w:p>
            <w:pPr>
              <w:pStyle w:val="0"/>
            </w:pPr>
            <w:r>
              <w:rPr>
                <w:sz w:val="20"/>
              </w:rPr>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737"/>
        <w:gridCol w:w="1134"/>
        <w:gridCol w:w="907"/>
        <w:gridCol w:w="850"/>
        <w:gridCol w:w="850"/>
        <w:gridCol w:w="850"/>
        <w:gridCol w:w="850"/>
        <w:gridCol w:w="1191"/>
        <w:gridCol w:w="907"/>
        <w:gridCol w:w="1134"/>
        <w:gridCol w:w="907"/>
        <w:gridCol w:w="1134"/>
        <w:gridCol w:w="850"/>
        <w:gridCol w:w="1134"/>
      </w:tblGrid>
      <w:tr>
        <w:tblPrEx>
          <w:tblBorders>
            <w:left w:val="nil"/>
            <w:right w:val="nil"/>
          </w:tblBorders>
        </w:tblPrEx>
        <w:tc>
          <w:tcPr>
            <w:gridSpan w:val="2"/>
            <w:tcW w:w="1701" w:type="dxa"/>
            <w:tcBorders>
              <w:left w:val="nil"/>
            </w:tcBorders>
            <w:vMerge w:val="restart"/>
          </w:tcPr>
          <w:p>
            <w:pPr>
              <w:pStyle w:val="0"/>
              <w:jc w:val="center"/>
            </w:pPr>
            <w:r>
              <w:rPr>
                <w:sz w:val="20"/>
              </w:rPr>
              <w:t xml:space="preserve">Направление расходов </w:t>
            </w:r>
            <w:hyperlink w:history="0" w:anchor="P1129" w:tooltip="&lt;3&gt; Показатели граф 1 и 2 формируются на основании показателей граф 1 и 2 приложения N 1 к соглашению.">
              <w:r>
                <w:rPr>
                  <w:sz w:val="20"/>
                  <w:color w:val="0000ff"/>
                </w:rPr>
                <w:t xml:space="preserve">&lt;3&gt;</w:t>
              </w:r>
            </w:hyperlink>
          </w:p>
        </w:tc>
        <w:tc>
          <w:tcPr>
            <w:tcW w:w="1134" w:type="dxa"/>
            <w:vMerge w:val="restart"/>
          </w:tcPr>
          <w:p>
            <w:pPr>
              <w:pStyle w:val="0"/>
              <w:jc w:val="center"/>
            </w:pPr>
            <w:r>
              <w:rPr>
                <w:sz w:val="20"/>
              </w:rPr>
              <w:t xml:space="preserve">Результат предоставления Иного межбюджетного трансферта </w:t>
            </w:r>
            <w:hyperlink w:history="0" w:anchor="P1130" w:tooltip="&lt;4&gt; Указывается наименование предусмотренного Правилами предоставления иного межбюджетного трансферта результата предоставления Иного межбюджетного трансферта.">
              <w:r>
                <w:rPr>
                  <w:sz w:val="20"/>
                  <w:color w:val="0000ff"/>
                </w:rPr>
                <w:t xml:space="preserve">&lt;4&gt;</w:t>
              </w:r>
            </w:hyperlink>
          </w:p>
        </w:tc>
        <w:tc>
          <w:tcPr>
            <w:gridSpan w:val="2"/>
            <w:tcW w:w="1757" w:type="dxa"/>
            <w:vMerge w:val="restart"/>
          </w:tcPr>
          <w:p>
            <w:pPr>
              <w:pStyle w:val="0"/>
              <w:jc w:val="center"/>
            </w:pPr>
            <w:r>
              <w:rPr>
                <w:sz w:val="20"/>
              </w:rPr>
              <w:t xml:space="preserve">Единица измерения</w:t>
            </w:r>
          </w:p>
        </w:tc>
        <w:tc>
          <w:tcPr>
            <w:tcW w:w="850" w:type="dxa"/>
            <w:vMerge w:val="restart"/>
          </w:tcPr>
          <w:p>
            <w:pPr>
              <w:pStyle w:val="0"/>
              <w:jc w:val="center"/>
            </w:pPr>
            <w:r>
              <w:rPr>
                <w:sz w:val="20"/>
              </w:rPr>
              <w:t xml:space="preserve">Код мероприятия (результата) федерального проекта </w:t>
            </w:r>
            <w:hyperlink w:history="0" w:anchor="P1131" w:tooltip="&lt;4.1&gt; Указывается соответствующий результату предоставления Иного межбюджетного трансферта код мероприятия (результата) федерального проекта, автоматически сформированный в системе &quot;Электронный бюджет&quot;.">
              <w:r>
                <w:rPr>
                  <w:sz w:val="20"/>
                  <w:color w:val="0000ff"/>
                </w:rPr>
                <w:t xml:space="preserve">&lt;4.1&gt;</w:t>
              </w:r>
            </w:hyperlink>
          </w:p>
        </w:tc>
        <w:tc>
          <w:tcPr>
            <w:tcW w:w="850" w:type="dxa"/>
            <w:vMerge w:val="restart"/>
          </w:tcPr>
          <w:p>
            <w:pPr>
              <w:pStyle w:val="0"/>
              <w:jc w:val="center"/>
            </w:pPr>
            <w:r>
              <w:rPr>
                <w:sz w:val="20"/>
              </w:rPr>
              <w:t xml:space="preserve">Код строки</w:t>
            </w:r>
          </w:p>
        </w:tc>
        <w:tc>
          <w:tcPr>
            <w:gridSpan w:val="8"/>
            <w:tcW w:w="8107" w:type="dxa"/>
            <w:tcBorders>
              <w:right w:val="nil"/>
            </w:tcBorders>
          </w:tcPr>
          <w:p>
            <w:pPr>
              <w:pStyle w:val="0"/>
              <w:jc w:val="center"/>
            </w:pPr>
            <w:r>
              <w:rPr>
                <w:sz w:val="20"/>
              </w:rPr>
              <w:t xml:space="preserve">Плановые значения результатов предоставления Иного межбюджетного трансферта по годам (срокам) реализации Соглашения </w:t>
            </w:r>
            <w:hyperlink w:history="0" w:anchor="P1132" w:tooltip="&lt;5&gt; Указываются плановые значения результатов предоставления иного межбюджетного трансферта на различные даты их достижения нарастающим итогом (если иное не предусмотрено Правилами предоставления иных межбюджетных трансфертов) с даты заключения Соглашения и с начала текущего финансового года соответственно.&quot;.">
              <w:r>
                <w:rPr>
                  <w:sz w:val="20"/>
                  <w:color w:val="0000ff"/>
                </w:rPr>
                <w:t xml:space="preserve">&lt;5&gt;</w:t>
              </w:r>
            </w:hyperlink>
          </w:p>
        </w:tc>
      </w:tr>
      <w:tr>
        <w:tblPrEx>
          <w:tblBorders>
            <w:left w:val="nil"/>
            <w:right w:val="nil"/>
          </w:tblBorders>
        </w:tblPrEx>
        <w:tc>
          <w:tcPr>
            <w:gridSpan w:val="2"/>
            <w:tcBorders>
              <w:left w:val="nil"/>
            </w:tcBorders>
            <w:vMerge w:val="continue"/>
          </w:tcPr>
          <w:p/>
        </w:tc>
        <w:tc>
          <w:tcPr>
            <w:vMerge w:val="continue"/>
          </w:tcPr>
          <w:p/>
        </w:tc>
        <w:tc>
          <w:tcPr>
            <w:gridSpan w:val="2"/>
            <w:vMerge w:val="continue"/>
          </w:tcPr>
          <w:p/>
        </w:tc>
        <w:tc>
          <w:tcPr>
            <w:vMerge w:val="continue"/>
          </w:tcPr>
          <w:p/>
        </w:tc>
        <w:tc>
          <w:tcPr>
            <w:vMerge w:val="continue"/>
          </w:tcPr>
          <w:p/>
        </w:tc>
        <w:tc>
          <w:tcPr>
            <w:gridSpan w:val="2"/>
            <w:tcW w:w="2041" w:type="dxa"/>
          </w:tcPr>
          <w:p>
            <w:pPr>
              <w:pStyle w:val="0"/>
              <w:jc w:val="center"/>
            </w:pPr>
            <w:r>
              <w:rPr>
                <w:sz w:val="20"/>
              </w:rPr>
              <w:t xml:space="preserve">на __.__.20__</w:t>
            </w:r>
          </w:p>
        </w:tc>
        <w:tc>
          <w:tcPr>
            <w:gridSpan w:val="2"/>
            <w:tcW w:w="2041" w:type="dxa"/>
          </w:tcPr>
          <w:p>
            <w:pPr>
              <w:pStyle w:val="0"/>
              <w:jc w:val="center"/>
            </w:pPr>
            <w:r>
              <w:rPr>
                <w:sz w:val="20"/>
              </w:rPr>
              <w:t xml:space="preserve">на __.__.20__</w:t>
            </w:r>
          </w:p>
        </w:tc>
        <w:tc>
          <w:tcPr>
            <w:gridSpan w:val="2"/>
            <w:tcW w:w="2041" w:type="dxa"/>
          </w:tcPr>
          <w:p>
            <w:pPr>
              <w:pStyle w:val="0"/>
              <w:jc w:val="center"/>
            </w:pPr>
            <w:r>
              <w:rPr>
                <w:sz w:val="20"/>
              </w:rPr>
              <w:t xml:space="preserve">на __.__.20__</w:t>
            </w:r>
          </w:p>
        </w:tc>
        <w:tc>
          <w:tcPr>
            <w:gridSpan w:val="2"/>
            <w:tcW w:w="1984" w:type="dxa"/>
            <w:tcBorders>
              <w:right w:val="nil"/>
            </w:tcBorders>
          </w:tcPr>
          <w:p>
            <w:pPr>
              <w:pStyle w:val="0"/>
              <w:jc w:val="center"/>
            </w:pPr>
            <w:r>
              <w:rPr>
                <w:sz w:val="20"/>
              </w:rPr>
              <w:t xml:space="preserve">на __.__.20__</w:t>
            </w:r>
          </w:p>
        </w:tc>
      </w:tr>
      <w:tr>
        <w:tblPrEx>
          <w:tblBorders>
            <w:left w:val="nil"/>
            <w:right w:val="nil"/>
          </w:tblBorders>
        </w:tblPrEx>
        <w:tc>
          <w:tcPr>
            <w:tcW w:w="964" w:type="dxa"/>
            <w:tcBorders>
              <w:left w:val="nil"/>
            </w:tcBorders>
          </w:tcPr>
          <w:p>
            <w:pPr>
              <w:pStyle w:val="0"/>
              <w:jc w:val="center"/>
            </w:pPr>
            <w:r>
              <w:rPr>
                <w:sz w:val="20"/>
              </w:rPr>
              <w:t xml:space="preserve">наименование</w:t>
            </w:r>
          </w:p>
        </w:tc>
        <w:tc>
          <w:tcPr>
            <w:tcW w:w="737" w:type="dxa"/>
          </w:tcPr>
          <w:p>
            <w:pPr>
              <w:pStyle w:val="0"/>
              <w:jc w:val="center"/>
            </w:pPr>
            <w:r>
              <w:rPr>
                <w:sz w:val="20"/>
              </w:rPr>
              <w:t xml:space="preserve">код по БК</w:t>
            </w:r>
          </w:p>
        </w:tc>
        <w:tc>
          <w:tcPr>
            <w:vMerge w:val="continue"/>
          </w:tcPr>
          <w:p/>
        </w:tc>
        <w:tc>
          <w:tcPr>
            <w:tcW w:w="907" w:type="dxa"/>
          </w:tcPr>
          <w:p>
            <w:pPr>
              <w:pStyle w:val="0"/>
              <w:jc w:val="center"/>
            </w:pPr>
            <w:r>
              <w:rPr>
                <w:sz w:val="20"/>
              </w:rPr>
              <w:t xml:space="preserve">наименование</w:t>
            </w:r>
          </w:p>
        </w:tc>
        <w:tc>
          <w:tcPr>
            <w:tcW w:w="850" w:type="dxa"/>
          </w:tcPr>
          <w:p>
            <w:pPr>
              <w:pStyle w:val="0"/>
              <w:jc w:val="center"/>
            </w:pPr>
            <w:r>
              <w:rPr>
                <w:sz w:val="20"/>
              </w:rPr>
              <w:t xml:space="preserve">код по </w:t>
            </w:r>
            <w:hyperlink w:history="0" r:id="rId5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tc>
        <w:tc>
          <w:tcPr>
            <w:vMerge w:val="continue"/>
          </w:tcPr>
          <w:p/>
        </w:tc>
        <w:tc>
          <w:tcPr>
            <w:vMerge w:val="continue"/>
          </w:tcPr>
          <w:p/>
        </w:tc>
        <w:tc>
          <w:tcPr>
            <w:tcW w:w="850" w:type="dxa"/>
          </w:tcPr>
          <w:p>
            <w:pPr>
              <w:pStyle w:val="0"/>
              <w:jc w:val="center"/>
            </w:pPr>
            <w:r>
              <w:rPr>
                <w:sz w:val="20"/>
              </w:rPr>
              <w:t xml:space="preserve">с даты заключения Соглашения</w:t>
            </w:r>
          </w:p>
        </w:tc>
        <w:tc>
          <w:tcPr>
            <w:tcW w:w="1191" w:type="dxa"/>
          </w:tcPr>
          <w:p>
            <w:pPr>
              <w:pStyle w:val="0"/>
              <w:jc w:val="center"/>
            </w:pPr>
            <w:r>
              <w:rPr>
                <w:sz w:val="20"/>
              </w:rPr>
              <w:t xml:space="preserve">из них с начала текущего финансового года</w:t>
            </w:r>
          </w:p>
        </w:tc>
        <w:tc>
          <w:tcPr>
            <w:tcW w:w="907" w:type="dxa"/>
          </w:tcPr>
          <w:p>
            <w:pPr>
              <w:pStyle w:val="0"/>
              <w:jc w:val="center"/>
            </w:pPr>
            <w:r>
              <w:rPr>
                <w:sz w:val="20"/>
              </w:rPr>
              <w:t xml:space="preserve">с даты заключения Соглашения</w:t>
            </w:r>
          </w:p>
        </w:tc>
        <w:tc>
          <w:tcPr>
            <w:tcW w:w="1134" w:type="dxa"/>
          </w:tcPr>
          <w:p>
            <w:pPr>
              <w:pStyle w:val="0"/>
              <w:jc w:val="center"/>
            </w:pPr>
            <w:r>
              <w:rPr>
                <w:sz w:val="20"/>
              </w:rPr>
              <w:t xml:space="preserve">из них с начала текущего финансового года</w:t>
            </w:r>
          </w:p>
        </w:tc>
        <w:tc>
          <w:tcPr>
            <w:tcW w:w="907" w:type="dxa"/>
          </w:tcPr>
          <w:p>
            <w:pPr>
              <w:pStyle w:val="0"/>
              <w:jc w:val="center"/>
            </w:pPr>
            <w:r>
              <w:rPr>
                <w:sz w:val="20"/>
              </w:rPr>
              <w:t xml:space="preserve">с даты заключения Соглашения</w:t>
            </w:r>
          </w:p>
        </w:tc>
        <w:tc>
          <w:tcPr>
            <w:tcW w:w="1134" w:type="dxa"/>
          </w:tcPr>
          <w:p>
            <w:pPr>
              <w:pStyle w:val="0"/>
              <w:jc w:val="center"/>
            </w:pPr>
            <w:r>
              <w:rPr>
                <w:sz w:val="20"/>
              </w:rPr>
              <w:t xml:space="preserve">из них с начала текущего финансового года</w:t>
            </w:r>
          </w:p>
        </w:tc>
        <w:tc>
          <w:tcPr>
            <w:tcW w:w="850" w:type="dxa"/>
          </w:tcPr>
          <w:p>
            <w:pPr>
              <w:pStyle w:val="0"/>
              <w:jc w:val="center"/>
            </w:pPr>
            <w:r>
              <w:rPr>
                <w:sz w:val="20"/>
              </w:rPr>
              <w:t xml:space="preserve">с даты заключения Соглашения</w:t>
            </w:r>
          </w:p>
        </w:tc>
        <w:tc>
          <w:tcPr>
            <w:tcW w:w="1134" w:type="dxa"/>
            <w:tcBorders>
              <w:right w:val="nil"/>
            </w:tcBorders>
          </w:tcPr>
          <w:p>
            <w:pPr>
              <w:pStyle w:val="0"/>
              <w:jc w:val="center"/>
            </w:pPr>
            <w:r>
              <w:rPr>
                <w:sz w:val="20"/>
              </w:rPr>
              <w:t xml:space="preserve">из них с начала текущего финансового года</w:t>
            </w:r>
          </w:p>
        </w:tc>
      </w:tr>
      <w:tr>
        <w:tblPrEx>
          <w:tblBorders>
            <w:left w:val="nil"/>
            <w:right w:val="nil"/>
          </w:tblBorders>
        </w:tblPrEx>
        <w:tc>
          <w:tcPr>
            <w:tcW w:w="964" w:type="dxa"/>
            <w:tcBorders>
              <w:left w:val="nil"/>
            </w:tcBorders>
          </w:tcPr>
          <w:bookmarkStart w:id="1022" w:name="P1022"/>
          <w:bookmarkEnd w:id="1022"/>
          <w:p>
            <w:pPr>
              <w:pStyle w:val="0"/>
              <w:jc w:val="center"/>
            </w:pPr>
            <w:r>
              <w:rPr>
                <w:sz w:val="20"/>
              </w:rPr>
              <w:t xml:space="preserve">1</w:t>
            </w:r>
          </w:p>
        </w:tc>
        <w:tc>
          <w:tcPr>
            <w:tcW w:w="737" w:type="dxa"/>
          </w:tcPr>
          <w:bookmarkStart w:id="1023" w:name="P1023"/>
          <w:bookmarkEnd w:id="1023"/>
          <w:p>
            <w:pPr>
              <w:pStyle w:val="0"/>
              <w:jc w:val="center"/>
            </w:pPr>
            <w:r>
              <w:rPr>
                <w:sz w:val="20"/>
              </w:rPr>
              <w:t xml:space="preserve">2</w:t>
            </w:r>
          </w:p>
        </w:tc>
        <w:tc>
          <w:tcPr>
            <w:tcW w:w="1134" w:type="dxa"/>
          </w:tcPr>
          <w:p>
            <w:pPr>
              <w:pStyle w:val="0"/>
              <w:jc w:val="center"/>
            </w:pPr>
            <w:r>
              <w:rPr>
                <w:sz w:val="20"/>
              </w:rPr>
              <w:t xml:space="preserve">3</w:t>
            </w:r>
          </w:p>
        </w:tc>
        <w:tc>
          <w:tcPr>
            <w:tcW w:w="907" w:type="dxa"/>
          </w:tcPr>
          <w:p>
            <w:pPr>
              <w:pStyle w:val="0"/>
              <w:jc w:val="center"/>
            </w:pPr>
            <w:r>
              <w:rPr>
                <w:sz w:val="20"/>
              </w:rPr>
              <w:t xml:space="preserve">4</w:t>
            </w:r>
          </w:p>
        </w:tc>
        <w:tc>
          <w:tcPr>
            <w:tcW w:w="850" w:type="dxa"/>
          </w:tcPr>
          <w:bookmarkStart w:id="1026" w:name="P1026"/>
          <w:bookmarkEnd w:id="1026"/>
          <w:p>
            <w:pPr>
              <w:pStyle w:val="0"/>
              <w:jc w:val="center"/>
            </w:pPr>
            <w:r>
              <w:rPr>
                <w:sz w:val="20"/>
              </w:rPr>
              <w:t xml:space="preserve">5</w:t>
            </w:r>
          </w:p>
        </w:tc>
        <w:tc>
          <w:tcPr>
            <w:tcW w:w="850" w:type="dxa"/>
          </w:tcPr>
          <w:p>
            <w:pPr>
              <w:pStyle w:val="0"/>
              <w:jc w:val="center"/>
            </w:pPr>
            <w:r>
              <w:rPr>
                <w:sz w:val="20"/>
              </w:rPr>
              <w:t xml:space="preserve">5.1</w:t>
            </w:r>
          </w:p>
        </w:tc>
        <w:tc>
          <w:tcPr>
            <w:tcW w:w="850" w:type="dxa"/>
          </w:tcPr>
          <w:p>
            <w:pPr>
              <w:pStyle w:val="0"/>
              <w:jc w:val="center"/>
            </w:pPr>
            <w:r>
              <w:rPr>
                <w:sz w:val="20"/>
              </w:rPr>
              <w:t xml:space="preserve">6</w:t>
            </w:r>
          </w:p>
        </w:tc>
        <w:tc>
          <w:tcPr>
            <w:tcW w:w="850" w:type="dxa"/>
          </w:tcPr>
          <w:p>
            <w:pPr>
              <w:pStyle w:val="0"/>
              <w:jc w:val="center"/>
            </w:pPr>
            <w:r>
              <w:rPr>
                <w:sz w:val="20"/>
              </w:rPr>
              <w:t xml:space="preserve">7</w:t>
            </w:r>
          </w:p>
        </w:tc>
        <w:tc>
          <w:tcPr>
            <w:tcW w:w="1191" w:type="dxa"/>
          </w:tcPr>
          <w:p>
            <w:pPr>
              <w:pStyle w:val="0"/>
              <w:jc w:val="center"/>
            </w:pPr>
            <w:r>
              <w:rPr>
                <w:sz w:val="20"/>
              </w:rPr>
              <w:t xml:space="preserve">8</w:t>
            </w:r>
          </w:p>
        </w:tc>
        <w:tc>
          <w:tcPr>
            <w:tcW w:w="907" w:type="dxa"/>
          </w:tcPr>
          <w:p>
            <w:pPr>
              <w:pStyle w:val="0"/>
              <w:jc w:val="center"/>
            </w:pPr>
            <w:r>
              <w:rPr>
                <w:sz w:val="20"/>
              </w:rPr>
              <w:t xml:space="preserve">9</w:t>
            </w:r>
          </w:p>
        </w:tc>
        <w:tc>
          <w:tcPr>
            <w:tcW w:w="1134" w:type="dxa"/>
          </w:tcPr>
          <w:p>
            <w:pPr>
              <w:pStyle w:val="0"/>
              <w:jc w:val="center"/>
            </w:pPr>
            <w:r>
              <w:rPr>
                <w:sz w:val="20"/>
              </w:rPr>
              <w:t xml:space="preserve">10</w:t>
            </w:r>
          </w:p>
        </w:tc>
        <w:tc>
          <w:tcPr>
            <w:tcW w:w="907" w:type="dxa"/>
          </w:tcPr>
          <w:p>
            <w:pPr>
              <w:pStyle w:val="0"/>
              <w:jc w:val="center"/>
            </w:pPr>
            <w:r>
              <w:rPr>
                <w:sz w:val="20"/>
              </w:rPr>
              <w:t xml:space="preserve">11</w:t>
            </w:r>
          </w:p>
        </w:tc>
        <w:tc>
          <w:tcPr>
            <w:tcW w:w="1134" w:type="dxa"/>
          </w:tcPr>
          <w:p>
            <w:pPr>
              <w:pStyle w:val="0"/>
              <w:jc w:val="center"/>
            </w:pPr>
            <w:r>
              <w:rPr>
                <w:sz w:val="20"/>
              </w:rPr>
              <w:t xml:space="preserve">12</w:t>
            </w:r>
          </w:p>
        </w:tc>
        <w:tc>
          <w:tcPr>
            <w:tcW w:w="850" w:type="dxa"/>
          </w:tcPr>
          <w:p>
            <w:pPr>
              <w:pStyle w:val="0"/>
              <w:jc w:val="center"/>
            </w:pPr>
            <w:r>
              <w:rPr>
                <w:sz w:val="20"/>
              </w:rPr>
              <w:t xml:space="preserve">13</w:t>
            </w:r>
          </w:p>
        </w:tc>
        <w:tc>
          <w:tcPr>
            <w:tcW w:w="1134" w:type="dxa"/>
            <w:tcBorders>
              <w:right w:val="nil"/>
            </w:tcBorders>
          </w:tcPr>
          <w:p>
            <w:pPr>
              <w:pStyle w:val="0"/>
              <w:jc w:val="center"/>
            </w:pPr>
            <w:r>
              <w:rPr>
                <w:sz w:val="20"/>
              </w:rPr>
              <w:t xml:space="preserve">14</w:t>
            </w:r>
          </w:p>
        </w:tc>
      </w:tr>
      <w:tr>
        <w:tc>
          <w:tcPr>
            <w:tcW w:w="964" w:type="dxa"/>
            <w:vMerge w:val="restart"/>
          </w:tcPr>
          <w:p>
            <w:pPr>
              <w:pStyle w:val="0"/>
            </w:pPr>
            <w:r>
              <w:rPr>
                <w:sz w:val="20"/>
              </w:rPr>
            </w:r>
          </w:p>
        </w:tc>
        <w:tc>
          <w:tcPr>
            <w:tcW w:w="737" w:type="dxa"/>
            <w:vMerge w:val="restart"/>
          </w:tcPr>
          <w:p>
            <w:pPr>
              <w:pStyle w:val="0"/>
            </w:pPr>
            <w:r>
              <w:rPr>
                <w:sz w:val="20"/>
              </w:rPr>
            </w:r>
          </w:p>
        </w:tc>
        <w:tc>
          <w:tcPr>
            <w:tcW w:w="113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850" w:type="dxa"/>
          </w:tcPr>
          <w:p>
            <w:pPr>
              <w:pStyle w:val="0"/>
              <w:jc w:val="both"/>
            </w:pPr>
            <w:r>
              <w:rPr>
                <w:sz w:val="20"/>
              </w:rPr>
            </w:r>
          </w:p>
        </w:tc>
        <w:tc>
          <w:tcPr>
            <w:tcW w:w="850" w:type="dxa"/>
          </w:tcPr>
          <w:p>
            <w:pPr>
              <w:pStyle w:val="0"/>
              <w:jc w:val="center"/>
            </w:pPr>
            <w:r>
              <w:rPr>
                <w:sz w:val="20"/>
              </w:rPr>
              <w:t xml:space="preserve">0101</w:t>
            </w:r>
          </w:p>
        </w:tc>
        <w:tc>
          <w:tcPr>
            <w:tcW w:w="850" w:type="dxa"/>
          </w:tcPr>
          <w:p>
            <w:pPr>
              <w:pStyle w:val="0"/>
            </w:pPr>
            <w:r>
              <w:rPr>
                <w:sz w:val="20"/>
              </w:rPr>
            </w:r>
          </w:p>
        </w:tc>
        <w:tc>
          <w:tcPr>
            <w:tcW w:w="1191"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850" w:type="dxa"/>
          </w:tcPr>
          <w:p>
            <w:pPr>
              <w:pStyle w:val="0"/>
            </w:pPr>
            <w:r>
              <w:rPr>
                <w:sz w:val="20"/>
              </w:rPr>
            </w:r>
          </w:p>
        </w:tc>
        <w:tc>
          <w:tcPr>
            <w:tcW w:w="1134" w:type="dxa"/>
          </w:tcPr>
          <w:p>
            <w:pPr>
              <w:pStyle w:val="0"/>
            </w:pPr>
            <w:r>
              <w:rPr>
                <w:sz w:val="20"/>
              </w:rPr>
            </w:r>
          </w:p>
        </w:tc>
      </w:tr>
      <w:tr>
        <w:tc>
          <w:tcPr>
            <w:vMerge w:val="continue"/>
          </w:tcPr>
          <w:p/>
        </w:tc>
        <w:tc>
          <w:tcPr>
            <w:vMerge w:val="continue"/>
          </w:tcPr>
          <w:p/>
        </w:tc>
        <w:tc>
          <w:tcPr>
            <w:tcW w:w="113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850" w:type="dxa"/>
          </w:tcPr>
          <w:p>
            <w:pPr>
              <w:pStyle w:val="0"/>
              <w:jc w:val="both"/>
            </w:pPr>
            <w:r>
              <w:rPr>
                <w:sz w:val="20"/>
              </w:rPr>
            </w:r>
          </w:p>
        </w:tc>
        <w:tc>
          <w:tcPr>
            <w:tcW w:w="850" w:type="dxa"/>
          </w:tcPr>
          <w:p>
            <w:pPr>
              <w:pStyle w:val="0"/>
              <w:jc w:val="center"/>
            </w:pPr>
            <w:r>
              <w:rPr>
                <w:sz w:val="20"/>
              </w:rPr>
              <w:t xml:space="preserve">0102</w:t>
            </w:r>
          </w:p>
        </w:tc>
        <w:tc>
          <w:tcPr>
            <w:tcW w:w="850" w:type="dxa"/>
          </w:tcPr>
          <w:p>
            <w:pPr>
              <w:pStyle w:val="0"/>
            </w:pPr>
            <w:r>
              <w:rPr>
                <w:sz w:val="20"/>
              </w:rPr>
            </w:r>
          </w:p>
        </w:tc>
        <w:tc>
          <w:tcPr>
            <w:tcW w:w="1191"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850" w:type="dxa"/>
          </w:tcPr>
          <w:p>
            <w:pPr>
              <w:pStyle w:val="0"/>
            </w:pPr>
            <w:r>
              <w:rPr>
                <w:sz w:val="20"/>
              </w:rPr>
            </w:r>
          </w:p>
        </w:tc>
        <w:tc>
          <w:tcPr>
            <w:tcW w:w="1134" w:type="dxa"/>
          </w:tcPr>
          <w:p>
            <w:pPr>
              <w:pStyle w:val="0"/>
            </w:pPr>
            <w:r>
              <w:rPr>
                <w:sz w:val="20"/>
              </w:rPr>
            </w:r>
          </w:p>
        </w:tc>
      </w:tr>
      <w:tr>
        <w:tc>
          <w:tcPr>
            <w:vMerge w:val="continue"/>
          </w:tcPr>
          <w:p/>
        </w:tc>
        <w:tc>
          <w:tcPr>
            <w:vMerge w:val="continue"/>
          </w:tcPr>
          <w:p/>
        </w:tc>
        <w:tc>
          <w:tcPr>
            <w:tcW w:w="113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850" w:type="dxa"/>
          </w:tcPr>
          <w:p>
            <w:pPr>
              <w:pStyle w:val="0"/>
              <w:jc w:val="both"/>
            </w:pPr>
            <w:r>
              <w:rPr>
                <w:sz w:val="20"/>
              </w:rPr>
            </w:r>
          </w:p>
        </w:tc>
        <w:tc>
          <w:tcPr>
            <w:tcW w:w="850" w:type="dxa"/>
          </w:tcPr>
          <w:p>
            <w:pPr>
              <w:pStyle w:val="0"/>
            </w:pPr>
            <w:r>
              <w:rPr>
                <w:sz w:val="20"/>
              </w:rPr>
            </w:r>
          </w:p>
        </w:tc>
        <w:tc>
          <w:tcPr>
            <w:tcW w:w="850" w:type="dxa"/>
          </w:tcPr>
          <w:p>
            <w:pPr>
              <w:pStyle w:val="0"/>
            </w:pPr>
            <w:r>
              <w:rPr>
                <w:sz w:val="20"/>
              </w:rPr>
            </w:r>
          </w:p>
        </w:tc>
        <w:tc>
          <w:tcPr>
            <w:tcW w:w="1191"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850" w:type="dxa"/>
          </w:tcPr>
          <w:p>
            <w:pPr>
              <w:pStyle w:val="0"/>
            </w:pPr>
            <w:r>
              <w:rPr>
                <w:sz w:val="20"/>
              </w:rPr>
            </w:r>
          </w:p>
        </w:tc>
        <w:tc>
          <w:tcPr>
            <w:tcW w:w="1134" w:type="dxa"/>
          </w:tcPr>
          <w:p>
            <w:pPr>
              <w:pStyle w:val="0"/>
            </w:pPr>
            <w:r>
              <w:rPr>
                <w:sz w:val="20"/>
              </w:rPr>
            </w:r>
          </w:p>
        </w:tc>
      </w:tr>
      <w:tr>
        <w:tc>
          <w:tcPr>
            <w:tcW w:w="964" w:type="dxa"/>
            <w:vMerge w:val="restart"/>
          </w:tcPr>
          <w:p>
            <w:pPr>
              <w:pStyle w:val="0"/>
            </w:pPr>
            <w:r>
              <w:rPr>
                <w:sz w:val="20"/>
              </w:rPr>
            </w:r>
          </w:p>
        </w:tc>
        <w:tc>
          <w:tcPr>
            <w:tcW w:w="737" w:type="dxa"/>
            <w:vMerge w:val="restart"/>
          </w:tcPr>
          <w:p>
            <w:pPr>
              <w:pStyle w:val="0"/>
            </w:pPr>
            <w:r>
              <w:rPr>
                <w:sz w:val="20"/>
              </w:rPr>
            </w:r>
          </w:p>
        </w:tc>
        <w:tc>
          <w:tcPr>
            <w:tcW w:w="113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850" w:type="dxa"/>
          </w:tcPr>
          <w:p>
            <w:pPr>
              <w:pStyle w:val="0"/>
              <w:jc w:val="both"/>
            </w:pPr>
            <w:r>
              <w:rPr>
                <w:sz w:val="20"/>
              </w:rPr>
            </w:r>
          </w:p>
        </w:tc>
        <w:tc>
          <w:tcPr>
            <w:tcW w:w="850" w:type="dxa"/>
          </w:tcPr>
          <w:p>
            <w:pPr>
              <w:pStyle w:val="0"/>
              <w:jc w:val="center"/>
            </w:pPr>
            <w:r>
              <w:rPr>
                <w:sz w:val="20"/>
              </w:rPr>
              <w:t xml:space="preserve">0201</w:t>
            </w:r>
          </w:p>
        </w:tc>
        <w:tc>
          <w:tcPr>
            <w:tcW w:w="850" w:type="dxa"/>
          </w:tcPr>
          <w:p>
            <w:pPr>
              <w:pStyle w:val="0"/>
            </w:pPr>
            <w:r>
              <w:rPr>
                <w:sz w:val="20"/>
              </w:rPr>
            </w:r>
          </w:p>
        </w:tc>
        <w:tc>
          <w:tcPr>
            <w:tcW w:w="1191"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850" w:type="dxa"/>
          </w:tcPr>
          <w:p>
            <w:pPr>
              <w:pStyle w:val="0"/>
            </w:pPr>
            <w:r>
              <w:rPr>
                <w:sz w:val="20"/>
              </w:rPr>
            </w:r>
          </w:p>
        </w:tc>
        <w:tc>
          <w:tcPr>
            <w:tcW w:w="1134" w:type="dxa"/>
          </w:tcPr>
          <w:p>
            <w:pPr>
              <w:pStyle w:val="0"/>
            </w:pPr>
            <w:r>
              <w:rPr>
                <w:sz w:val="20"/>
              </w:rPr>
            </w:r>
          </w:p>
        </w:tc>
      </w:tr>
      <w:tr>
        <w:tc>
          <w:tcPr>
            <w:vMerge w:val="continue"/>
          </w:tcPr>
          <w:p/>
        </w:tc>
        <w:tc>
          <w:tcPr>
            <w:vMerge w:val="continue"/>
          </w:tcPr>
          <w:p/>
        </w:tc>
        <w:tc>
          <w:tcPr>
            <w:tcW w:w="113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850" w:type="dxa"/>
          </w:tcPr>
          <w:p>
            <w:pPr>
              <w:pStyle w:val="0"/>
              <w:jc w:val="both"/>
            </w:pPr>
            <w:r>
              <w:rPr>
                <w:sz w:val="20"/>
              </w:rPr>
            </w:r>
          </w:p>
        </w:tc>
        <w:tc>
          <w:tcPr>
            <w:tcW w:w="850" w:type="dxa"/>
          </w:tcPr>
          <w:p>
            <w:pPr>
              <w:pStyle w:val="0"/>
              <w:jc w:val="center"/>
            </w:pPr>
            <w:r>
              <w:rPr>
                <w:sz w:val="20"/>
              </w:rPr>
              <w:t xml:space="preserve">0202</w:t>
            </w:r>
          </w:p>
        </w:tc>
        <w:tc>
          <w:tcPr>
            <w:tcW w:w="850" w:type="dxa"/>
          </w:tcPr>
          <w:p>
            <w:pPr>
              <w:pStyle w:val="0"/>
            </w:pPr>
            <w:r>
              <w:rPr>
                <w:sz w:val="20"/>
              </w:rPr>
            </w:r>
          </w:p>
        </w:tc>
        <w:tc>
          <w:tcPr>
            <w:tcW w:w="1191"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850" w:type="dxa"/>
          </w:tcPr>
          <w:p>
            <w:pPr>
              <w:pStyle w:val="0"/>
            </w:pPr>
            <w:r>
              <w:rPr>
                <w:sz w:val="20"/>
              </w:rPr>
            </w:r>
          </w:p>
        </w:tc>
        <w:tc>
          <w:tcPr>
            <w:tcW w:w="1134" w:type="dxa"/>
          </w:tcPr>
          <w:p>
            <w:pPr>
              <w:pStyle w:val="0"/>
            </w:pPr>
            <w:r>
              <w:rPr>
                <w:sz w:val="20"/>
              </w:rPr>
            </w:r>
          </w:p>
        </w:tc>
      </w:tr>
      <w:tr>
        <w:tc>
          <w:tcPr>
            <w:vMerge w:val="continue"/>
          </w:tcPr>
          <w:p/>
        </w:tc>
        <w:tc>
          <w:tcPr>
            <w:vMerge w:val="continue"/>
          </w:tcPr>
          <w:p/>
        </w:tc>
        <w:tc>
          <w:tcPr>
            <w:tcW w:w="113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850" w:type="dxa"/>
          </w:tcPr>
          <w:p>
            <w:pPr>
              <w:pStyle w:val="0"/>
              <w:jc w:val="both"/>
            </w:pPr>
            <w:r>
              <w:rPr>
                <w:sz w:val="20"/>
              </w:rPr>
            </w:r>
          </w:p>
        </w:tc>
        <w:tc>
          <w:tcPr>
            <w:tcW w:w="850" w:type="dxa"/>
          </w:tcPr>
          <w:p>
            <w:pPr>
              <w:pStyle w:val="0"/>
            </w:pPr>
            <w:r>
              <w:rPr>
                <w:sz w:val="20"/>
              </w:rPr>
            </w:r>
          </w:p>
        </w:tc>
        <w:tc>
          <w:tcPr>
            <w:tcW w:w="850" w:type="dxa"/>
          </w:tcPr>
          <w:p>
            <w:pPr>
              <w:pStyle w:val="0"/>
            </w:pPr>
            <w:r>
              <w:rPr>
                <w:sz w:val="20"/>
              </w:rPr>
            </w:r>
          </w:p>
        </w:tc>
        <w:tc>
          <w:tcPr>
            <w:tcW w:w="1191"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850" w:type="dxa"/>
          </w:tcPr>
          <w:p>
            <w:pPr>
              <w:pStyle w:val="0"/>
            </w:pPr>
            <w:r>
              <w:rPr>
                <w:sz w:val="20"/>
              </w:rPr>
            </w:r>
          </w:p>
        </w:tc>
        <w:tc>
          <w:tcPr>
            <w:tcW w:w="1134" w:type="dxa"/>
          </w:tcPr>
          <w:p>
            <w:pPr>
              <w:pStyle w:val="0"/>
            </w:pPr>
            <w:r>
              <w:rPr>
                <w:sz w:val="20"/>
              </w:rPr>
            </w:r>
          </w:p>
        </w:tc>
      </w:tr>
    </w:tbl>
    <w:p>
      <w:pPr>
        <w:sectPr>
          <w:headerReference w:type="default" r:id="rId45"/>
          <w:headerReference w:type="first" r:id="rId45"/>
          <w:footerReference w:type="default" r:id="rId46"/>
          <w:footerReference w:type="first" r:id="rId46"/>
          <w:pgSz w:w="16838" w:h="11906" w:orient="landscape"/>
          <w:pgMar w:top="1133" w:right="397" w:bottom="566" w:left="397" w:header="0" w:footer="0" w:gutter="0"/>
          <w:titlePg/>
        </w:sectPr>
      </w:pPr>
    </w:p>
    <w:p>
      <w:pPr>
        <w:pStyle w:val="0"/>
        <w:jc w:val="both"/>
      </w:pPr>
      <w:r>
        <w:rPr>
          <w:sz w:val="20"/>
        </w:rPr>
      </w:r>
    </w:p>
    <w:p>
      <w:pPr>
        <w:pStyle w:val="1"/>
        <w:jc w:val="both"/>
      </w:pPr>
      <w:r>
        <w:rPr>
          <w:sz w:val="20"/>
        </w:rPr>
        <w:t xml:space="preserve">                              Подписи сторон:</w:t>
      </w:r>
    </w:p>
    <w:p>
      <w:pPr>
        <w:pStyle w:val="1"/>
        <w:jc w:val="both"/>
      </w:pPr>
      <w:r>
        <w:rPr>
          <w:sz w:val="20"/>
        </w:rPr>
      </w:r>
    </w:p>
    <w:p>
      <w:pPr>
        <w:pStyle w:val="1"/>
        <w:jc w:val="both"/>
      </w:pPr>
      <w:r>
        <w:rPr>
          <w:sz w:val="20"/>
        </w:rPr>
        <w:t xml:space="preserve">             ___________                 _________________________________</w:t>
      </w:r>
    </w:p>
    <w:p>
      <w:pPr>
        <w:pStyle w:val="1"/>
        <w:jc w:val="both"/>
      </w:pPr>
      <w:r>
        <w:rPr>
          <w:sz w:val="20"/>
        </w:rPr>
        <w:t xml:space="preserve">              (Субъект)                  (Министерство, Агентство, Служба)</w:t>
      </w:r>
    </w:p>
    <w:p>
      <w:pPr>
        <w:pStyle w:val="0"/>
        <w:jc w:val="both"/>
      </w:pPr>
      <w:r>
        <w:rPr>
          <w:sz w:val="20"/>
        </w:rPr>
      </w:r>
    </w:p>
    <w:p>
      <w:pPr>
        <w:pStyle w:val="0"/>
        <w:ind w:firstLine="540"/>
        <w:jc w:val="both"/>
      </w:pPr>
      <w:r>
        <w:rPr>
          <w:sz w:val="20"/>
        </w:rPr>
        <w:t xml:space="preserve">--------------------------------</w:t>
      </w:r>
    </w:p>
    <w:bookmarkStart w:id="1126" w:name="P1126"/>
    <w:bookmarkEnd w:id="1126"/>
    <w:p>
      <w:pPr>
        <w:pStyle w:val="0"/>
        <w:spacing w:before="200" w:lineRule="auto"/>
        <w:ind w:firstLine="540"/>
        <w:jc w:val="both"/>
      </w:pPr>
      <w:r>
        <w:rPr>
          <w:sz w:val="20"/>
        </w:rPr>
        <w:t xml:space="preserve">&lt;1&gt; Указывается наименование федерального проекта. В кодовой </w:t>
      </w:r>
      <w:hyperlink w:history="0" w:anchor="P986" w:tooltip="по БК &lt;1&gt;">
        <w:r>
          <w:rPr>
            <w:sz w:val="20"/>
            <w:color w:val="0000ff"/>
          </w:rPr>
          <w:t xml:space="preserve">зоне</w:t>
        </w:r>
      </w:hyperlink>
      <w:r>
        <w:rPr>
          <w:sz w:val="20"/>
        </w:rPr>
        <w:t xml:space="preserve"> указываются 1 - 5 разряды кода целевой статьи расходов федерального бюджета.</w:t>
      </w:r>
    </w:p>
    <w:bookmarkStart w:id="1127" w:name="P1127"/>
    <w:bookmarkEnd w:id="1127"/>
    <w:p>
      <w:pPr>
        <w:pStyle w:val="0"/>
        <w:spacing w:before="200" w:lineRule="auto"/>
        <w:ind w:firstLine="540"/>
        <w:jc w:val="both"/>
      </w:pPr>
      <w:r>
        <w:rPr>
          <w:sz w:val="20"/>
        </w:rPr>
        <w:t xml:space="preserve">&lt;1.1&gt; Указывается наименование регионального проекта в случае предоставления Иного межбюджетного трансферта в целях софинансирования расходных обязательств субъекта Российской Федерации, возникающих при реализации регионального проекта, обеспечивающего достижение целей, показателей и мероприятий (результатов) федерального проекта, входящего в состав соответствующего национального проекта. В кодовой </w:t>
      </w:r>
      <w:hyperlink w:history="0" w:anchor="P990" w:tooltip="по БК &lt;1.1&gt;">
        <w:r>
          <w:rPr>
            <w:sz w:val="20"/>
            <w:color w:val="0000ff"/>
          </w:rPr>
          <w:t xml:space="preserve">зоне</w:t>
        </w:r>
      </w:hyperlink>
      <w:r>
        <w:rPr>
          <w:sz w:val="20"/>
        </w:rPr>
        <w:t xml:space="preserve"> указываются 4 и 5 разряды кодов целевых статей расходов бюджета субъекта Российской Федерации.</w:t>
      </w:r>
    </w:p>
    <w:bookmarkStart w:id="1128" w:name="P1128"/>
    <w:bookmarkEnd w:id="1128"/>
    <w:p>
      <w:pPr>
        <w:pStyle w:val="0"/>
        <w:spacing w:before="200" w:lineRule="auto"/>
        <w:ind w:firstLine="540"/>
        <w:jc w:val="both"/>
      </w:pPr>
      <w:r>
        <w:rPr>
          <w:sz w:val="20"/>
        </w:rPr>
        <w:t xml:space="preserve">&lt;2&gt; Указывается порядковый номер очередного внесения изменения в приложение.</w:t>
      </w:r>
    </w:p>
    <w:bookmarkStart w:id="1129" w:name="P1129"/>
    <w:bookmarkEnd w:id="1129"/>
    <w:p>
      <w:pPr>
        <w:pStyle w:val="0"/>
        <w:spacing w:before="200" w:lineRule="auto"/>
        <w:ind w:firstLine="540"/>
        <w:jc w:val="both"/>
      </w:pPr>
      <w:r>
        <w:rPr>
          <w:sz w:val="20"/>
        </w:rPr>
        <w:t xml:space="preserve">&lt;3&gt; Показатели </w:t>
      </w:r>
      <w:hyperlink w:history="0" w:anchor="P1022" w:tooltip="1">
        <w:r>
          <w:rPr>
            <w:sz w:val="20"/>
            <w:color w:val="0000ff"/>
          </w:rPr>
          <w:t xml:space="preserve">граф 1</w:t>
        </w:r>
      </w:hyperlink>
      <w:r>
        <w:rPr>
          <w:sz w:val="20"/>
        </w:rPr>
        <w:t xml:space="preserve"> и </w:t>
      </w:r>
      <w:hyperlink w:history="0" w:anchor="P1023" w:tooltip="2">
        <w:r>
          <w:rPr>
            <w:sz w:val="20"/>
            <w:color w:val="0000ff"/>
          </w:rPr>
          <w:t xml:space="preserve">2</w:t>
        </w:r>
      </w:hyperlink>
      <w:r>
        <w:rPr>
          <w:sz w:val="20"/>
        </w:rPr>
        <w:t xml:space="preserve"> формируются на основании показателей </w:t>
      </w:r>
      <w:hyperlink w:history="0" w:anchor="P671" w:tooltip="1">
        <w:r>
          <w:rPr>
            <w:sz w:val="20"/>
            <w:color w:val="0000ff"/>
          </w:rPr>
          <w:t xml:space="preserve">граф 1</w:t>
        </w:r>
      </w:hyperlink>
      <w:r>
        <w:rPr>
          <w:sz w:val="20"/>
        </w:rPr>
        <w:t xml:space="preserve"> и </w:t>
      </w:r>
      <w:hyperlink w:history="0" w:anchor="P672" w:tooltip="2">
        <w:r>
          <w:rPr>
            <w:sz w:val="20"/>
            <w:color w:val="0000ff"/>
          </w:rPr>
          <w:t xml:space="preserve">2</w:t>
        </w:r>
      </w:hyperlink>
      <w:r>
        <w:rPr>
          <w:sz w:val="20"/>
        </w:rPr>
        <w:t xml:space="preserve"> приложения N 1 к соглашению.</w:t>
      </w:r>
    </w:p>
    <w:bookmarkStart w:id="1130" w:name="P1130"/>
    <w:bookmarkEnd w:id="1130"/>
    <w:p>
      <w:pPr>
        <w:pStyle w:val="0"/>
        <w:spacing w:before="200" w:lineRule="auto"/>
        <w:ind w:firstLine="540"/>
        <w:jc w:val="both"/>
      </w:pPr>
      <w:r>
        <w:rPr>
          <w:sz w:val="20"/>
        </w:rPr>
        <w:t xml:space="preserve">&lt;4&gt; Указывается наименование предусмотренного Правилами предоставления иного межбюджетного трансферта результата предоставления Иного межбюджетного трансферта.</w:t>
      </w:r>
    </w:p>
    <w:bookmarkStart w:id="1131" w:name="P1131"/>
    <w:bookmarkEnd w:id="1131"/>
    <w:p>
      <w:pPr>
        <w:pStyle w:val="0"/>
        <w:spacing w:before="200" w:lineRule="auto"/>
        <w:ind w:firstLine="540"/>
        <w:jc w:val="both"/>
      </w:pPr>
      <w:r>
        <w:rPr>
          <w:sz w:val="20"/>
        </w:rPr>
        <w:t xml:space="preserve">&lt;4.1&gt; Указывается соответствующий результату предоставления Иного межбюджетного трансферта код мероприятия (результата) федерального проекта, автоматически сформированный в системе "Электронный бюджет".</w:t>
      </w:r>
    </w:p>
    <w:bookmarkStart w:id="1132" w:name="P1132"/>
    <w:bookmarkEnd w:id="1132"/>
    <w:p>
      <w:pPr>
        <w:pStyle w:val="0"/>
        <w:spacing w:before="200" w:lineRule="auto"/>
        <w:ind w:firstLine="540"/>
        <w:jc w:val="both"/>
      </w:pPr>
      <w:r>
        <w:rPr>
          <w:sz w:val="20"/>
        </w:rPr>
        <w:t xml:space="preserve">&lt;5&gt; Указываются плановые значения результатов предоставления иного межбюджетного трансферта на различные даты их достижения нарастающим итогом (если иное не предусмотрено Правилами предоставления иных межбюджетных трансфертов) с даты заключения Соглашения и с начала текущего финансового года соответственно.".</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Типовой форме соглашения</w:t>
      </w:r>
    </w:p>
    <w:p>
      <w:pPr>
        <w:pStyle w:val="0"/>
        <w:jc w:val="right"/>
      </w:pPr>
      <w:r>
        <w:rPr>
          <w:sz w:val="20"/>
        </w:rPr>
        <w:t xml:space="preserve">о предоставлении иного</w:t>
      </w:r>
    </w:p>
    <w:p>
      <w:pPr>
        <w:pStyle w:val="0"/>
        <w:jc w:val="right"/>
      </w:pPr>
      <w:r>
        <w:rPr>
          <w:sz w:val="20"/>
        </w:rPr>
        <w:t xml:space="preserve">межбюджетного трансферта,</w:t>
      </w:r>
    </w:p>
    <w:p>
      <w:pPr>
        <w:pStyle w:val="0"/>
        <w:jc w:val="right"/>
      </w:pPr>
      <w:r>
        <w:rPr>
          <w:sz w:val="20"/>
        </w:rPr>
        <w:t xml:space="preserve">имеющего целевое назначение,</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pStyle w:val="0"/>
        <w:jc w:val="both"/>
      </w:pPr>
      <w:r>
        <w:rPr>
          <w:sz w:val="20"/>
        </w:rPr>
      </w:r>
    </w:p>
    <w:p>
      <w:pPr>
        <w:pStyle w:val="0"/>
        <w:jc w:val="center"/>
      </w:pPr>
      <w:r>
        <w:rPr>
          <w:sz w:val="20"/>
        </w:rPr>
        <w:t xml:space="preserve">Перечень</w:t>
      </w:r>
    </w:p>
    <w:p>
      <w:pPr>
        <w:pStyle w:val="0"/>
        <w:jc w:val="center"/>
      </w:pPr>
      <w:r>
        <w:rPr>
          <w:sz w:val="20"/>
        </w:rPr>
        <w:t xml:space="preserve">результатов регионального проекта, в целях софинансирования</w:t>
      </w:r>
    </w:p>
    <w:p>
      <w:pPr>
        <w:pStyle w:val="0"/>
        <w:jc w:val="center"/>
      </w:pPr>
      <w:r>
        <w:rPr>
          <w:sz w:val="20"/>
        </w:rPr>
        <w:t xml:space="preserve">которых предоставляется Иной межбюджетный трансферт</w:t>
      </w:r>
    </w:p>
    <w:p>
      <w:pPr>
        <w:pStyle w:val="0"/>
        <w:jc w:val="both"/>
      </w:pPr>
      <w:r>
        <w:rPr>
          <w:sz w:val="20"/>
        </w:rPr>
      </w:r>
    </w:p>
    <w:p>
      <w:pPr>
        <w:pStyle w:val="0"/>
        <w:ind w:firstLine="540"/>
        <w:jc w:val="both"/>
      </w:pPr>
      <w:r>
        <w:rPr>
          <w:sz w:val="20"/>
        </w:rPr>
        <w:t xml:space="preserve">Утратил силу с 1 марта 2020 года. - </w:t>
      </w:r>
      <w:hyperlink w:history="0" r:id="rId56" w:tooltip="Приказ Минфина России от 08.10.2019 N 161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22.11.2019 N 56610) {КонсультантПлюс}">
        <w:r>
          <w:rPr>
            <w:sz w:val="20"/>
            <w:color w:val="0000ff"/>
          </w:rPr>
          <w:t xml:space="preserve">Приказ</w:t>
        </w:r>
      </w:hyperlink>
      <w:r>
        <w:rPr>
          <w:sz w:val="20"/>
        </w:rPr>
        <w:t xml:space="preserve"> Минфина России от 08.10.2019 N 161н.</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Типовой форме соглашения</w:t>
      </w:r>
    </w:p>
    <w:p>
      <w:pPr>
        <w:pStyle w:val="0"/>
        <w:jc w:val="right"/>
      </w:pPr>
      <w:r>
        <w:rPr>
          <w:sz w:val="20"/>
        </w:rPr>
        <w:t xml:space="preserve">о предоставлении иного</w:t>
      </w:r>
    </w:p>
    <w:p>
      <w:pPr>
        <w:pStyle w:val="0"/>
        <w:jc w:val="right"/>
      </w:pPr>
      <w:r>
        <w:rPr>
          <w:sz w:val="20"/>
        </w:rPr>
        <w:t xml:space="preserve">межбюджетного трансферта,</w:t>
      </w:r>
    </w:p>
    <w:p>
      <w:pPr>
        <w:pStyle w:val="0"/>
        <w:jc w:val="right"/>
      </w:pPr>
      <w:r>
        <w:rPr>
          <w:sz w:val="20"/>
        </w:rPr>
        <w:t xml:space="preserve">имеющего целевое назначение,</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pStyle w:val="0"/>
        <w:jc w:val="both"/>
      </w:pPr>
      <w:r>
        <w:rPr>
          <w:sz w:val="20"/>
        </w:rPr>
      </w:r>
    </w:p>
    <w:p>
      <w:pPr>
        <w:pStyle w:val="0"/>
        <w:jc w:val="center"/>
      </w:pPr>
      <w:r>
        <w:rPr>
          <w:sz w:val="20"/>
        </w:rPr>
        <w:t xml:space="preserve">ГРАФИК</w:t>
      </w:r>
    </w:p>
    <w:p>
      <w:pPr>
        <w:pStyle w:val="0"/>
        <w:jc w:val="center"/>
      </w:pPr>
      <w:r>
        <w:rPr>
          <w:sz w:val="20"/>
        </w:rPr>
        <w:t xml:space="preserve">перечисления Иного межбюджетного трансферта</w:t>
      </w:r>
    </w:p>
    <w:p>
      <w:pPr>
        <w:pStyle w:val="0"/>
        <w:jc w:val="both"/>
      </w:pPr>
      <w:r>
        <w:rPr>
          <w:sz w:val="20"/>
        </w:rPr>
      </w:r>
    </w:p>
    <w:p>
      <w:pPr>
        <w:pStyle w:val="0"/>
        <w:ind w:firstLine="540"/>
        <w:jc w:val="both"/>
      </w:pPr>
      <w:r>
        <w:rPr>
          <w:sz w:val="20"/>
        </w:rPr>
        <w:t xml:space="preserve">Утратил силу с 1 марта 2020 года. - </w:t>
      </w:r>
      <w:hyperlink w:history="0" r:id="rId57" w:tooltip="Приказ Минфина России от 08.10.2019 N 161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22.11.2019 N 56610) {КонсультантПлюс}">
        <w:r>
          <w:rPr>
            <w:sz w:val="20"/>
            <w:color w:val="0000ff"/>
          </w:rPr>
          <w:t xml:space="preserve">Приказ</w:t>
        </w:r>
      </w:hyperlink>
      <w:r>
        <w:rPr>
          <w:sz w:val="20"/>
        </w:rPr>
        <w:t xml:space="preserve"> Минфина России от 08.10.2019 N 161н.</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Типовой форме соглашения</w:t>
      </w:r>
    </w:p>
    <w:p>
      <w:pPr>
        <w:pStyle w:val="0"/>
        <w:jc w:val="right"/>
      </w:pPr>
      <w:r>
        <w:rPr>
          <w:sz w:val="20"/>
        </w:rPr>
        <w:t xml:space="preserve">о предоставлении иного</w:t>
      </w:r>
    </w:p>
    <w:p>
      <w:pPr>
        <w:pStyle w:val="0"/>
        <w:jc w:val="right"/>
      </w:pPr>
      <w:r>
        <w:rPr>
          <w:sz w:val="20"/>
        </w:rPr>
        <w:t xml:space="preserve">межбюджетного трансферта,</w:t>
      </w:r>
    </w:p>
    <w:p>
      <w:pPr>
        <w:pStyle w:val="0"/>
        <w:jc w:val="right"/>
      </w:pPr>
      <w:r>
        <w:rPr>
          <w:sz w:val="20"/>
        </w:rPr>
        <w:t xml:space="preserve">имеющего целевое назначение,</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pStyle w:val="0"/>
        <w:jc w:val="both"/>
      </w:pPr>
      <w:r>
        <w:rPr>
          <w:sz w:val="20"/>
        </w:rPr>
      </w:r>
    </w:p>
    <w:p>
      <w:pPr>
        <w:pStyle w:val="0"/>
        <w:jc w:val="center"/>
      </w:pPr>
      <w:r>
        <w:rPr>
          <w:sz w:val="20"/>
        </w:rPr>
        <w:t xml:space="preserve">Результаты предоставления Иного межбюджетного трансферта</w:t>
      </w:r>
    </w:p>
    <w:p>
      <w:pPr>
        <w:pStyle w:val="0"/>
        <w:jc w:val="both"/>
      </w:pPr>
      <w:r>
        <w:rPr>
          <w:sz w:val="20"/>
        </w:rPr>
      </w:r>
    </w:p>
    <w:p>
      <w:pPr>
        <w:pStyle w:val="0"/>
        <w:ind w:firstLine="540"/>
        <w:jc w:val="both"/>
      </w:pPr>
      <w:r>
        <w:rPr>
          <w:sz w:val="20"/>
        </w:rPr>
        <w:t xml:space="preserve">Утратили силу с 1 марта 2020 года. - </w:t>
      </w:r>
      <w:hyperlink w:history="0" r:id="rId58" w:tooltip="Приказ Минфина России от 08.10.2019 N 161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22.11.2019 N 56610) {КонсультантПлюс}">
        <w:r>
          <w:rPr>
            <w:sz w:val="20"/>
            <w:color w:val="0000ff"/>
          </w:rPr>
          <w:t xml:space="preserve">Приказ</w:t>
        </w:r>
      </w:hyperlink>
      <w:r>
        <w:rPr>
          <w:sz w:val="20"/>
        </w:rPr>
        <w:t xml:space="preserve"> Минфина России от 08.10.2019 N 161н.</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Типовой форме соглашения</w:t>
      </w:r>
    </w:p>
    <w:p>
      <w:pPr>
        <w:pStyle w:val="0"/>
        <w:jc w:val="right"/>
      </w:pPr>
      <w:r>
        <w:rPr>
          <w:sz w:val="20"/>
        </w:rPr>
        <w:t xml:space="preserve">о предоставлении иного</w:t>
      </w:r>
    </w:p>
    <w:p>
      <w:pPr>
        <w:pStyle w:val="0"/>
        <w:jc w:val="right"/>
      </w:pPr>
      <w:r>
        <w:rPr>
          <w:sz w:val="20"/>
        </w:rPr>
        <w:t xml:space="preserve">межбюджетного трансферта,</w:t>
      </w:r>
    </w:p>
    <w:p>
      <w:pPr>
        <w:pStyle w:val="0"/>
        <w:jc w:val="right"/>
      </w:pPr>
      <w:r>
        <w:rPr>
          <w:sz w:val="20"/>
        </w:rPr>
        <w:t xml:space="preserve">имеющего целевое назначение,</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pStyle w:val="0"/>
        <w:jc w:val="center"/>
      </w:pPr>
      <w:r>
        <w:rPr>
          <w:sz w:val="20"/>
        </w:rPr>
      </w:r>
    </w:p>
    <w:p>
      <w:pPr>
        <w:pStyle w:val="0"/>
        <w:jc w:val="center"/>
      </w:pPr>
      <w:r>
        <w:rPr>
          <w:sz w:val="20"/>
        </w:rPr>
        <w:t xml:space="preserve">ГРАФИК</w:t>
      </w:r>
    </w:p>
    <w:p>
      <w:pPr>
        <w:pStyle w:val="0"/>
        <w:jc w:val="center"/>
      </w:pPr>
      <w:r>
        <w:rPr>
          <w:sz w:val="20"/>
        </w:rPr>
        <w:t xml:space="preserve">выполнения мероприятий по проектированию и (или)</w:t>
      </w:r>
    </w:p>
    <w:p>
      <w:pPr>
        <w:pStyle w:val="0"/>
        <w:jc w:val="center"/>
      </w:pPr>
      <w:r>
        <w:rPr>
          <w:sz w:val="20"/>
        </w:rPr>
        <w:t xml:space="preserve">строительству (реконструкции, в том числе с элементами</w:t>
      </w:r>
    </w:p>
    <w:p>
      <w:pPr>
        <w:pStyle w:val="0"/>
        <w:jc w:val="center"/>
      </w:pPr>
      <w:r>
        <w:rPr>
          <w:sz w:val="20"/>
        </w:rPr>
        <w:t xml:space="preserve">реставрации, техническому перевооружению)</w:t>
      </w:r>
    </w:p>
    <w:p>
      <w:pPr>
        <w:pStyle w:val="0"/>
        <w:jc w:val="center"/>
      </w:pPr>
      <w:r>
        <w:rPr>
          <w:sz w:val="20"/>
        </w:rPr>
        <w:t xml:space="preserve">объектов капитального строительства</w:t>
      </w:r>
    </w:p>
    <w:p>
      <w:pPr>
        <w:pStyle w:val="0"/>
        <w:jc w:val="both"/>
      </w:pPr>
      <w:r>
        <w:rPr>
          <w:sz w:val="20"/>
        </w:rPr>
      </w:r>
    </w:p>
    <w:p>
      <w:pPr>
        <w:pStyle w:val="0"/>
        <w:ind w:firstLine="540"/>
        <w:jc w:val="both"/>
      </w:pPr>
      <w:r>
        <w:rPr>
          <w:sz w:val="20"/>
        </w:rPr>
        <w:t xml:space="preserve">Утратил силу. - </w:t>
      </w:r>
      <w:hyperlink w:history="0" r:id="rId59" w:tooltip="Приказ Минфина России от 06.12.2023 N 193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КонсультантПлюс}">
        <w:r>
          <w:rPr>
            <w:sz w:val="20"/>
            <w:color w:val="0000ff"/>
          </w:rPr>
          <w:t xml:space="preserve">Приказ</w:t>
        </w:r>
      </w:hyperlink>
      <w:r>
        <w:rPr>
          <w:sz w:val="20"/>
        </w:rPr>
        <w:t xml:space="preserve"> Минфина России от 06.12.2023 N 193н.</w:t>
      </w:r>
    </w:p>
    <w:p>
      <w:pPr>
        <w:pStyle w:val="0"/>
        <w:ind w:firstLine="540"/>
        <w:jc w:val="both"/>
      </w:pPr>
      <w:r>
        <w:rPr>
          <w:sz w:val="20"/>
        </w:rPr>
      </w:r>
    </w:p>
    <w:p>
      <w:pPr>
        <w:pStyle w:val="0"/>
        <w:ind w:firstLine="54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Типовой форме соглашения</w:t>
      </w:r>
    </w:p>
    <w:p>
      <w:pPr>
        <w:pStyle w:val="0"/>
        <w:jc w:val="right"/>
      </w:pPr>
      <w:r>
        <w:rPr>
          <w:sz w:val="20"/>
        </w:rPr>
        <w:t xml:space="preserve">о предоставлении иного</w:t>
      </w:r>
    </w:p>
    <w:p>
      <w:pPr>
        <w:pStyle w:val="0"/>
        <w:jc w:val="right"/>
      </w:pPr>
      <w:r>
        <w:rPr>
          <w:sz w:val="20"/>
        </w:rPr>
        <w:t xml:space="preserve">межбюджетного трансферта,</w:t>
      </w:r>
    </w:p>
    <w:p>
      <w:pPr>
        <w:pStyle w:val="0"/>
        <w:jc w:val="right"/>
      </w:pPr>
      <w:r>
        <w:rPr>
          <w:sz w:val="20"/>
        </w:rPr>
        <w:t xml:space="preserve">имеющего целевое назначение,</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pStyle w:val="0"/>
        <w:jc w:val="both"/>
      </w:pPr>
      <w:r>
        <w:rPr>
          <w:sz w:val="20"/>
        </w:rPr>
      </w:r>
    </w:p>
    <w:p>
      <w:pPr>
        <w:pStyle w:val="0"/>
        <w:jc w:val="center"/>
      </w:pPr>
      <w:r>
        <w:rPr>
          <w:sz w:val="20"/>
        </w:rPr>
        <w:t xml:space="preserve">ГРАФИК</w:t>
      </w:r>
    </w:p>
    <w:p>
      <w:pPr>
        <w:pStyle w:val="0"/>
        <w:jc w:val="center"/>
      </w:pPr>
      <w:r>
        <w:rPr>
          <w:sz w:val="20"/>
        </w:rPr>
        <w:t xml:space="preserve">выполнения мероприятий по приобретению объектов</w:t>
      </w:r>
    </w:p>
    <w:p>
      <w:pPr>
        <w:pStyle w:val="0"/>
        <w:jc w:val="center"/>
      </w:pPr>
      <w:r>
        <w:rPr>
          <w:sz w:val="20"/>
        </w:rPr>
        <w:t xml:space="preserve">недвижимого имущества</w:t>
      </w:r>
    </w:p>
    <w:p>
      <w:pPr>
        <w:pStyle w:val="0"/>
        <w:jc w:val="both"/>
      </w:pPr>
      <w:r>
        <w:rPr>
          <w:sz w:val="20"/>
        </w:rPr>
      </w:r>
    </w:p>
    <w:p>
      <w:pPr>
        <w:pStyle w:val="0"/>
        <w:ind w:firstLine="540"/>
        <w:jc w:val="both"/>
      </w:pPr>
      <w:r>
        <w:rPr>
          <w:sz w:val="20"/>
        </w:rPr>
        <w:t xml:space="preserve">Утратил силу с 1 марта 2020 года. - </w:t>
      </w:r>
      <w:hyperlink w:history="0" r:id="rId60" w:tooltip="Приказ Минфина России от 08.10.2019 N 161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22.11.2019 N 56610) {КонсультантПлюс}">
        <w:r>
          <w:rPr>
            <w:sz w:val="20"/>
            <w:color w:val="0000ff"/>
          </w:rPr>
          <w:t xml:space="preserve">Приказ</w:t>
        </w:r>
      </w:hyperlink>
      <w:r>
        <w:rPr>
          <w:sz w:val="20"/>
        </w:rPr>
        <w:t xml:space="preserve"> Минфина России от 08.10.2019 N 161н.</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Типовой форме соглашения</w:t>
      </w:r>
    </w:p>
    <w:p>
      <w:pPr>
        <w:pStyle w:val="0"/>
        <w:jc w:val="right"/>
      </w:pPr>
      <w:r>
        <w:rPr>
          <w:sz w:val="20"/>
        </w:rPr>
        <w:t xml:space="preserve">о предоставлении иного</w:t>
      </w:r>
    </w:p>
    <w:p>
      <w:pPr>
        <w:pStyle w:val="0"/>
        <w:jc w:val="right"/>
      </w:pPr>
      <w:r>
        <w:rPr>
          <w:sz w:val="20"/>
        </w:rPr>
        <w:t xml:space="preserve">межбюджетного трансферта бюджету,</w:t>
      </w:r>
    </w:p>
    <w:p>
      <w:pPr>
        <w:pStyle w:val="0"/>
        <w:jc w:val="right"/>
      </w:pPr>
      <w:r>
        <w:rPr>
          <w:sz w:val="20"/>
        </w:rPr>
        <w:t xml:space="preserve">имеющего целевое назначение,</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pStyle w:val="0"/>
        <w:jc w:val="right"/>
      </w:pPr>
      <w:r>
        <w:rPr>
          <w:sz w:val="20"/>
        </w:rPr>
      </w:r>
    </w:p>
    <w:p>
      <w:pPr>
        <w:pStyle w:val="0"/>
        <w:jc w:val="right"/>
      </w:pPr>
      <w:r>
        <w:rPr>
          <w:sz w:val="20"/>
        </w:rPr>
        <w:t xml:space="preserve">"Приложение N ___</w:t>
      </w:r>
    </w:p>
    <w:p>
      <w:pPr>
        <w:pStyle w:val="0"/>
        <w:jc w:val="right"/>
      </w:pPr>
      <w:r>
        <w:rPr>
          <w:sz w:val="20"/>
        </w:rPr>
        <w:t xml:space="preserve">к Соглашению</w:t>
      </w:r>
    </w:p>
    <w:p>
      <w:pPr>
        <w:pStyle w:val="0"/>
        <w:jc w:val="right"/>
      </w:pPr>
      <w:r>
        <w:rPr>
          <w:sz w:val="20"/>
        </w:rPr>
        <w:t xml:space="preserve">от "__" ________ 20__ г. N ___</w:t>
      </w:r>
    </w:p>
    <w:p>
      <w:pPr>
        <w:pStyle w:val="0"/>
        <w:jc w:val="right"/>
      </w:pPr>
      <w:r>
        <w:rPr>
          <w:sz w:val="20"/>
        </w:rPr>
        <w:t xml:space="preserve">(Приложение N ___</w:t>
      </w:r>
    </w:p>
    <w:p>
      <w:pPr>
        <w:pStyle w:val="0"/>
        <w:jc w:val="right"/>
      </w:pPr>
      <w:r>
        <w:rPr>
          <w:sz w:val="20"/>
        </w:rPr>
        <w:t xml:space="preserve">к Дополнительному соглашению</w:t>
      </w:r>
    </w:p>
    <w:p>
      <w:pPr>
        <w:pStyle w:val="0"/>
        <w:jc w:val="right"/>
      </w:pPr>
      <w:r>
        <w:rPr>
          <w:sz w:val="20"/>
        </w:rPr>
        <w:t xml:space="preserve">от "__" _______ 20__ г. N ___)</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Минфина России от 08.10.2019 </w:t>
            </w:r>
            <w:hyperlink w:history="0" r:id="rId61" w:tooltip="Приказ Минфина России от 08.10.2019 N 161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22.11.2019 N 56610) {КонсультантПлюс}">
              <w:r>
                <w:rPr>
                  <w:sz w:val="20"/>
                  <w:color w:val="0000ff"/>
                </w:rPr>
                <w:t xml:space="preserve">N 161н</w:t>
              </w:r>
            </w:hyperlink>
            <w:r>
              <w:rPr>
                <w:sz w:val="20"/>
                <w:color w:val="392c69"/>
              </w:rPr>
              <w:t xml:space="preserve">,</w:t>
            </w:r>
          </w:p>
          <w:p>
            <w:pPr>
              <w:pStyle w:val="0"/>
              <w:jc w:val="center"/>
            </w:pPr>
            <w:r>
              <w:rPr>
                <w:sz w:val="20"/>
                <w:color w:val="392c69"/>
              </w:rPr>
              <w:t xml:space="preserve">от 31.03.2021 </w:t>
            </w:r>
            <w:hyperlink w:history="0" r:id="rId62" w:tooltip="Приказ Минфина России от 31.03.2021 N 52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КонсультантПлюс}">
              <w:r>
                <w:rPr>
                  <w:sz w:val="20"/>
                  <w:color w:val="0000ff"/>
                </w:rPr>
                <w:t xml:space="preserve">N 52н</w:t>
              </w:r>
            </w:hyperlink>
            <w:r>
              <w:rPr>
                <w:sz w:val="20"/>
                <w:color w:val="392c69"/>
              </w:rPr>
              <w:t xml:space="preserve">, от 24.12.2021 </w:t>
            </w:r>
            <w:hyperlink w:history="0" r:id="rId63" w:tooltip="Приказ Минфина России от 24.12.2021 N 228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 {КонсультантПлюс}">
              <w:r>
                <w:rPr>
                  <w:sz w:val="20"/>
                  <w:color w:val="0000ff"/>
                </w:rPr>
                <w:t xml:space="preserve">N 228н</w:t>
              </w:r>
            </w:hyperlink>
            <w:r>
              <w:rPr>
                <w:sz w:val="20"/>
                <w:color w:val="392c69"/>
              </w:rPr>
              <w:t xml:space="preserve">, от 14.08.2023 </w:t>
            </w:r>
            <w:hyperlink w:history="0" r:id="rId64" w:tooltip="Приказ Минфина России от 14.08.2023 N 133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5.09.2023 N 75245) {КонсультантПлюс}">
              <w:r>
                <w:rPr>
                  <w:sz w:val="20"/>
                  <w:color w:val="0000ff"/>
                </w:rPr>
                <w:t xml:space="preserve">N 133н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257" w:name="P1257"/>
    <w:bookmarkEnd w:id="1257"/>
    <w:p>
      <w:pPr>
        <w:pStyle w:val="1"/>
        <w:jc w:val="both"/>
      </w:pPr>
      <w:r>
        <w:rPr>
          <w:sz w:val="20"/>
        </w:rPr>
        <w:t xml:space="preserve">                                   ОТЧЕТ</w:t>
      </w:r>
    </w:p>
    <w:p>
      <w:pPr>
        <w:pStyle w:val="1"/>
        <w:jc w:val="both"/>
      </w:pPr>
      <w:r>
        <w:rPr>
          <w:sz w:val="20"/>
        </w:rPr>
        <w:t xml:space="preserve">       о расходах, в целях софинансирования которых предоставляется</w:t>
      </w:r>
    </w:p>
    <w:p>
      <w:pPr>
        <w:pStyle w:val="1"/>
        <w:jc w:val="both"/>
      </w:pPr>
      <w:r>
        <w:rPr>
          <w:sz w:val="20"/>
        </w:rPr>
        <w:t xml:space="preserve">                        Иной межбюджетный трансферт</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2318"/>
        <w:gridCol w:w="1310"/>
        <w:gridCol w:w="3288"/>
        <w:gridCol w:w="1303"/>
        <w:gridCol w:w="850"/>
      </w:tblGrid>
      <w:tr>
        <w:tc>
          <w:tcPr>
            <w:gridSpan w:val="2"/>
            <w:tcW w:w="3628" w:type="dxa"/>
            <w:tcBorders>
              <w:top w:val="nil"/>
              <w:left w:val="nil"/>
              <w:bottom w:val="nil"/>
              <w:right w:val="nil"/>
            </w:tcBorders>
          </w:tcPr>
          <w:p>
            <w:pPr>
              <w:pStyle w:val="0"/>
            </w:pPr>
            <w:r>
              <w:rPr>
                <w:sz w:val="20"/>
              </w:rPr>
            </w:r>
          </w:p>
        </w:tc>
        <w:tc>
          <w:tcPr>
            <w:tcW w:w="3288" w:type="dxa"/>
            <w:tcBorders>
              <w:top w:val="nil"/>
              <w:left w:val="nil"/>
              <w:bottom w:val="nil"/>
              <w:right w:val="nil"/>
            </w:tcBorders>
          </w:tcPr>
          <w:p>
            <w:pPr>
              <w:pStyle w:val="0"/>
            </w:pPr>
            <w:r>
              <w:rPr>
                <w:sz w:val="20"/>
              </w:rPr>
            </w:r>
          </w:p>
        </w:tc>
        <w:tc>
          <w:tcPr>
            <w:tcW w:w="1303" w:type="dxa"/>
            <w:tcBorders>
              <w:top w:val="nil"/>
              <w:left w:val="nil"/>
              <w:bottom w:val="nil"/>
              <w:right w:val="single" w:sz="4"/>
            </w:tcBorders>
          </w:tcPr>
          <w:p>
            <w:pPr>
              <w:pStyle w:val="0"/>
            </w:pPr>
            <w:r>
              <w:rPr>
                <w:sz w:val="20"/>
              </w:rPr>
            </w:r>
          </w:p>
        </w:tc>
        <w:tc>
          <w:tcPr>
            <w:tcW w:w="850" w:type="dxa"/>
            <w:tcBorders>
              <w:top w:val="single" w:sz="4"/>
              <w:left w:val="single" w:sz="4"/>
              <w:bottom w:val="single" w:sz="4"/>
              <w:right w:val="single" w:sz="4"/>
            </w:tcBorders>
          </w:tcPr>
          <w:p>
            <w:pPr>
              <w:pStyle w:val="0"/>
              <w:jc w:val="center"/>
            </w:pPr>
            <w:r>
              <w:rPr>
                <w:sz w:val="20"/>
              </w:rPr>
              <w:t xml:space="preserve">Коды</w:t>
            </w:r>
          </w:p>
        </w:tc>
      </w:tr>
      <w:tr>
        <w:tc>
          <w:tcPr>
            <w:gridSpan w:val="2"/>
            <w:tcW w:w="3628" w:type="dxa"/>
            <w:tcBorders>
              <w:top w:val="nil"/>
              <w:left w:val="nil"/>
              <w:bottom w:val="nil"/>
              <w:right w:val="nil"/>
            </w:tcBorders>
          </w:tcPr>
          <w:p>
            <w:pPr>
              <w:pStyle w:val="0"/>
            </w:pPr>
            <w:r>
              <w:rPr>
                <w:sz w:val="20"/>
              </w:rPr>
            </w:r>
          </w:p>
        </w:tc>
        <w:tc>
          <w:tcPr>
            <w:tcW w:w="3288" w:type="dxa"/>
            <w:tcBorders>
              <w:top w:val="nil"/>
              <w:left w:val="nil"/>
              <w:bottom w:val="nil"/>
              <w:right w:val="nil"/>
            </w:tcBorders>
          </w:tcPr>
          <w:p>
            <w:pPr>
              <w:pStyle w:val="0"/>
              <w:jc w:val="center"/>
            </w:pPr>
            <w:r>
              <w:rPr>
                <w:sz w:val="20"/>
              </w:rPr>
              <w:t xml:space="preserve">на 1 _______ 20__ г.</w:t>
            </w:r>
          </w:p>
        </w:tc>
        <w:tc>
          <w:tcPr>
            <w:tcW w:w="1303" w:type="dxa"/>
            <w:vAlign w:val="bottom"/>
            <w:tcBorders>
              <w:top w:val="nil"/>
              <w:left w:val="nil"/>
              <w:bottom w:val="nil"/>
              <w:right w:val="single" w:sz="4"/>
            </w:tcBorders>
          </w:tcPr>
          <w:p>
            <w:pPr>
              <w:pStyle w:val="0"/>
              <w:jc w:val="right"/>
            </w:pPr>
            <w:r>
              <w:rPr>
                <w:sz w:val="20"/>
              </w:rPr>
              <w:t xml:space="preserve">Дата</w:t>
            </w:r>
          </w:p>
        </w:tc>
        <w:tc>
          <w:tcPr>
            <w:tcW w:w="850" w:type="dxa"/>
            <w:vAlign w:val="bottom"/>
            <w:tcBorders>
              <w:top w:val="single" w:sz="4"/>
              <w:left w:val="single" w:sz="4"/>
              <w:bottom w:val="single" w:sz="4"/>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t xml:space="preserve">Наименование уполномоченного органа исполнительной власти субъекта Российской Федерации </w:t>
            </w:r>
            <w:hyperlink w:history="0" w:anchor="P1468" w:tooltip="&lt;1&gt; Указывается орган исполнительной власти субъекта Российской Федерации, определенный в пункте 6.1.1 соглашения.">
              <w:r>
                <w:rPr>
                  <w:sz w:val="20"/>
                  <w:color w:val="0000ff"/>
                </w:rPr>
                <w:t xml:space="preserve">&lt;1&gt;</w:t>
              </w:r>
            </w:hyperlink>
          </w:p>
        </w:tc>
        <w:tc>
          <w:tcPr>
            <w:tcW w:w="3288" w:type="dxa"/>
            <w:tcBorders>
              <w:top w:val="nil"/>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tcBorders>
              <w:top w:val="single" w:sz="4"/>
              <w:left w:val="single" w:sz="4"/>
              <w:bottom w:val="single" w:sz="4"/>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t xml:space="preserve">Наименование субъекта Российской Федерации</w:t>
            </w:r>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jc w:val="right"/>
            </w:pPr>
            <w:r>
              <w:rPr>
                <w:sz w:val="20"/>
              </w:rPr>
              <w:t xml:space="preserve">по </w:t>
            </w:r>
            <w:hyperlink w:history="0" r:id="rId6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19/2025) {КонсультантПлюс}">
              <w:r>
                <w:rPr>
                  <w:sz w:val="20"/>
                  <w:color w:val="0000ff"/>
                </w:rPr>
                <w:t xml:space="preserve">ОКТМО</w:t>
              </w:r>
            </w:hyperlink>
          </w:p>
        </w:tc>
        <w:tc>
          <w:tcPr>
            <w:tcW w:w="850" w:type="dxa"/>
            <w:tcBorders>
              <w:top w:val="single" w:sz="4"/>
              <w:left w:val="single" w:sz="4"/>
              <w:bottom w:val="single" w:sz="4"/>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t xml:space="preserve">Наименование главного распорядителя средств средств федерального бюджета</w:t>
            </w:r>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vAlign w:val="bottom"/>
            <w:tcBorders>
              <w:top w:val="single" w:sz="4"/>
              <w:left w:val="single" w:sz="4"/>
              <w:bottom w:val="single" w:sz="4"/>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(Министерство, Агентство, Служба)</w:t>
            </w:r>
          </w:p>
        </w:tc>
        <w:tc>
          <w:tcPr>
            <w:tcW w:w="1303" w:type="dxa"/>
            <w:vAlign w:val="bottom"/>
            <w:tcBorders>
              <w:top w:val="nil"/>
              <w:left w:val="nil"/>
              <w:bottom w:val="nil"/>
              <w:right w:val="single" w:sz="4"/>
            </w:tcBorders>
          </w:tcPr>
          <w:p>
            <w:pPr>
              <w:pStyle w:val="0"/>
            </w:pPr>
            <w:r>
              <w:rPr>
                <w:sz w:val="20"/>
              </w:rPr>
            </w:r>
          </w:p>
        </w:tc>
        <w:tc>
          <w:tcPr>
            <w:tcW w:w="850" w:type="dxa"/>
            <w:vAlign w:val="bottom"/>
            <w:tcBorders>
              <w:top w:val="single" w:sz="4"/>
              <w:left w:val="single" w:sz="4"/>
              <w:bottom w:val="nil"/>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t xml:space="preserve">Наименование федерального проекта </w:t>
            </w:r>
            <w:hyperlink w:history="0" w:anchor="P1469" w:tooltip="&lt;2&gt; Указывается наименование федерального проекта. В кодовой зоне указываются 1 - 5 разряды кода целевой статьи расходов федерального бюджета.">
              <w:r>
                <w:rPr>
                  <w:sz w:val="20"/>
                  <w:color w:val="0000ff"/>
                </w:rPr>
                <w:t xml:space="preserve">&lt;2&gt;</w:t>
              </w:r>
            </w:hyperlink>
          </w:p>
        </w:tc>
        <w:tc>
          <w:tcPr>
            <w:tcW w:w="3288" w:type="dxa"/>
            <w:tcBorders>
              <w:top w:val="nil"/>
              <w:left w:val="nil"/>
              <w:bottom w:val="single" w:sz="4"/>
              <w:right w:val="nil"/>
            </w:tcBorders>
          </w:tcPr>
          <w:p>
            <w:pPr>
              <w:pStyle w:val="0"/>
            </w:pPr>
            <w:r>
              <w:rPr>
                <w:sz w:val="20"/>
              </w:rPr>
            </w:r>
          </w:p>
        </w:tc>
        <w:tc>
          <w:tcPr>
            <w:tcW w:w="1303" w:type="dxa"/>
            <w:vAlign w:val="bottom"/>
            <w:tcBorders>
              <w:top w:val="nil"/>
              <w:left w:val="nil"/>
              <w:bottom w:val="nil"/>
              <w:right w:val="single" w:sz="4"/>
            </w:tcBorders>
          </w:tcPr>
          <w:bookmarkStart w:id="1287" w:name="P1287"/>
          <w:bookmarkEnd w:id="1287"/>
          <w:p>
            <w:pPr>
              <w:pStyle w:val="0"/>
              <w:jc w:val="right"/>
            </w:pPr>
            <w:r>
              <w:rPr>
                <w:sz w:val="20"/>
              </w:rPr>
              <w:t xml:space="preserve">по БК </w:t>
            </w:r>
            <w:hyperlink w:history="0" w:anchor="P1469" w:tooltip="&lt;2&gt; Указывается наименование федерального проекта. В кодовой зоне указываются 1 - 5 разряды кода целевой статьи расходов федерального бюджета.">
              <w:r>
                <w:rPr>
                  <w:sz w:val="20"/>
                  <w:color w:val="0000ff"/>
                </w:rPr>
                <w:t xml:space="preserve">&lt;2&gt;</w:t>
              </w:r>
            </w:hyperlink>
          </w:p>
        </w:tc>
        <w:tc>
          <w:tcPr>
            <w:tcW w:w="850" w:type="dxa"/>
            <w:vAlign w:val="bottom"/>
            <w:tcBorders>
              <w:top w:val="nil"/>
              <w:left w:val="single" w:sz="4"/>
              <w:bottom w:val="single" w:sz="4"/>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t xml:space="preserve">Наименование регионального проекта </w:t>
            </w:r>
            <w:hyperlink w:history="0" w:anchor="P1470" w:tooltip="&lt;2.1&gt; Указывается наименование регионального проекта в случае предоставления Иного межбюджетного трансферта в целях софинансирования расходных обязательств субъекта Российской Федерации, возникающих при реализации регионального проекта, обеспечивающего достижение целей, показателей и мероприятий (результатов) федерального проекта, входящего в состав соответствующего национального проекта. В кодовой зоне указываются 4 и 5 разряды кодов целевых статей расходов бюджета субъекта Российской Федерации.">
              <w:r>
                <w:rPr>
                  <w:sz w:val="20"/>
                  <w:color w:val="0000ff"/>
                </w:rPr>
                <w:t xml:space="preserve">&lt;2.1&gt;</w:t>
              </w:r>
            </w:hyperlink>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bookmarkStart w:id="1291" w:name="P1291"/>
          <w:bookmarkEnd w:id="1291"/>
          <w:p>
            <w:pPr>
              <w:pStyle w:val="0"/>
              <w:jc w:val="right"/>
            </w:pPr>
            <w:r>
              <w:rPr>
                <w:sz w:val="20"/>
              </w:rPr>
              <w:t xml:space="preserve">по БК </w:t>
            </w:r>
            <w:hyperlink w:history="0" w:anchor="P1470" w:tooltip="&lt;2.1&gt; Указывается наименование регионального проекта в случае предоставления Иного межбюджетного трансферта в целях софинансирования расходных обязательств субъекта Российской Федерации, возникающих при реализации регионального проекта, обеспечивающего достижение целей, показателей и мероприятий (результатов) федерального проекта, входящего в состав соответствующего национального проекта. В кодовой зоне указываются 4 и 5 разряды кодов целевых статей расходов бюджета субъекта Российской Федерации.">
              <w:r>
                <w:rPr>
                  <w:sz w:val="20"/>
                  <w:color w:val="0000ff"/>
                </w:rPr>
                <w:t xml:space="preserve">&lt;2.1&gt;</w:t>
              </w:r>
            </w:hyperlink>
          </w:p>
        </w:tc>
        <w:tc>
          <w:tcPr>
            <w:tcW w:w="850" w:type="dxa"/>
            <w:vAlign w:val="bottom"/>
            <w:tcBorders>
              <w:top w:val="single" w:sz="4"/>
              <w:left w:val="single" w:sz="4"/>
              <w:bottom w:val="single" w:sz="4"/>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t xml:space="preserve">Вид документа</w:t>
            </w:r>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pPr>
            <w:r>
              <w:rPr>
                <w:sz w:val="20"/>
              </w:rPr>
            </w:r>
          </w:p>
        </w:tc>
        <w:tc>
          <w:tcPr>
            <w:tcW w:w="850" w:type="dxa"/>
            <w:vAlign w:val="bottom"/>
            <w:tcBorders>
              <w:top w:val="single" w:sz="4"/>
              <w:left w:val="single" w:sz="4"/>
              <w:bottom w:val="single" w:sz="4"/>
              <w:right w:val="single" w:sz="4"/>
            </w:tcBorders>
          </w:tcPr>
          <w:p>
            <w:pPr>
              <w:pStyle w:val="0"/>
            </w:pPr>
            <w:r>
              <w:rPr>
                <w:sz w:val="20"/>
              </w:rPr>
            </w:r>
          </w:p>
        </w:tc>
      </w:tr>
      <w:tr>
        <w:tc>
          <w:tcPr>
            <w:gridSpan w:val="2"/>
            <w:tcW w:w="3628"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(первичный - "0", уточненный </w:t>
            </w:r>
            <w:hyperlink w:history="0" w:anchor="P1471" w:tooltip="&lt;3&gt; При представлении уточненного отчета указывается номер корректировки (например, &quot;1&quot;, &quot;2&quot;, &quot;3&quot;, &quot;...&quot;).">
              <w:r>
                <w:rPr>
                  <w:sz w:val="20"/>
                  <w:color w:val="0000ff"/>
                </w:rPr>
                <w:t xml:space="preserve">&lt;3&gt;</w:t>
              </w:r>
            </w:hyperlink>
            <w:r>
              <w:rPr>
                <w:sz w:val="20"/>
              </w:rPr>
              <w:t xml:space="preserve"> - "1", "2", "3", "...")</w:t>
            </w:r>
          </w:p>
        </w:tc>
        <w:tc>
          <w:tcPr>
            <w:tcW w:w="1303" w:type="dxa"/>
            <w:vAlign w:val="bottom"/>
            <w:tcBorders>
              <w:top w:val="nil"/>
              <w:left w:val="nil"/>
              <w:bottom w:val="nil"/>
              <w:right w:val="single" w:sz="4"/>
            </w:tcBorders>
          </w:tcPr>
          <w:p>
            <w:pPr>
              <w:pStyle w:val="0"/>
            </w:pPr>
            <w:r>
              <w:rPr>
                <w:sz w:val="20"/>
              </w:rPr>
            </w:r>
          </w:p>
        </w:tc>
        <w:tc>
          <w:tcPr>
            <w:tcW w:w="850" w:type="dxa"/>
            <w:vAlign w:val="bottom"/>
            <w:tcBorders>
              <w:top w:val="single" w:sz="4"/>
              <w:left w:val="single" w:sz="4"/>
              <w:bottom w:val="nil"/>
              <w:right w:val="single" w:sz="4"/>
            </w:tcBorders>
          </w:tcPr>
          <w:p>
            <w:pPr>
              <w:pStyle w:val="0"/>
            </w:pPr>
            <w:r>
              <w:rPr>
                <w:sz w:val="20"/>
              </w:rPr>
            </w:r>
          </w:p>
        </w:tc>
      </w:tr>
      <w:tr>
        <w:tc>
          <w:tcPr>
            <w:tcW w:w="2318" w:type="dxa"/>
            <w:tcBorders>
              <w:top w:val="nil"/>
              <w:left w:val="nil"/>
              <w:bottom w:val="nil"/>
              <w:right w:val="nil"/>
            </w:tcBorders>
          </w:tcPr>
          <w:p>
            <w:pPr>
              <w:pStyle w:val="0"/>
            </w:pPr>
            <w:r>
              <w:rPr>
                <w:sz w:val="20"/>
              </w:rPr>
              <w:t xml:space="preserve">Единица измерения:</w:t>
            </w:r>
          </w:p>
        </w:tc>
        <w:tc>
          <w:tcPr>
            <w:gridSpan w:val="2"/>
            <w:tcW w:w="4598" w:type="dxa"/>
            <w:tcBorders>
              <w:top w:val="nil"/>
              <w:left w:val="nil"/>
              <w:bottom w:val="nil"/>
              <w:right w:val="nil"/>
            </w:tcBorders>
          </w:tcPr>
          <w:p>
            <w:pPr>
              <w:pStyle w:val="0"/>
              <w:jc w:val="both"/>
            </w:pPr>
            <w:r>
              <w:rPr>
                <w:sz w:val="20"/>
              </w:rPr>
              <w:t xml:space="preserve">руб (с точностью до второго знака после запятой)</w:t>
            </w:r>
          </w:p>
        </w:tc>
        <w:tc>
          <w:tcPr>
            <w:tcW w:w="1303" w:type="dxa"/>
            <w:vAlign w:val="bottom"/>
            <w:tcBorders>
              <w:top w:val="nil"/>
              <w:left w:val="nil"/>
              <w:bottom w:val="nil"/>
              <w:right w:val="single" w:sz="4"/>
            </w:tcBorders>
            <w:vMerge w:val="restart"/>
          </w:tcPr>
          <w:p>
            <w:pPr>
              <w:pStyle w:val="0"/>
            </w:pPr>
            <w:r>
              <w:rPr>
                <w:sz w:val="20"/>
              </w:rPr>
              <w:t xml:space="preserve">по </w:t>
            </w:r>
            <w:hyperlink w:history="0" r:id="rId66"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tc>
        <w:tc>
          <w:tcPr>
            <w:tcW w:w="850" w:type="dxa"/>
            <w:vAlign w:val="bottom"/>
            <w:tcBorders>
              <w:top w:val="nil"/>
              <w:left w:val="single" w:sz="4"/>
              <w:bottom w:val="single" w:sz="4"/>
              <w:right w:val="single" w:sz="4"/>
            </w:tcBorders>
            <w:vMerge w:val="restart"/>
          </w:tcPr>
          <w:p>
            <w:pPr>
              <w:pStyle w:val="0"/>
              <w:jc w:val="center"/>
            </w:pPr>
            <w:r>
              <w:rPr>
                <w:sz w:val="20"/>
              </w:rPr>
              <w:t xml:space="preserve">383</w:t>
            </w:r>
          </w:p>
        </w:tc>
      </w:tr>
      <w:tr>
        <w:tc>
          <w:tcPr>
            <w:gridSpan w:val="3"/>
            <w:tcW w:w="6916" w:type="dxa"/>
            <w:tcBorders>
              <w:top w:val="nil"/>
              <w:left w:val="nil"/>
              <w:bottom w:val="nil"/>
              <w:right w:val="nil"/>
            </w:tcBorders>
          </w:tcPr>
          <w:p>
            <w:pPr>
              <w:pStyle w:val="0"/>
            </w:pPr>
            <w:r>
              <w:rPr>
                <w:sz w:val="20"/>
              </w:rPr>
            </w:r>
          </w:p>
        </w:tc>
        <w:tc>
          <w:tcPr>
            <w:tcBorders>
              <w:top w:val="nil"/>
              <w:left w:val="nil"/>
              <w:bottom w:val="nil"/>
              <w:right w:val="single" w:sz="4"/>
            </w:tcBorders>
            <w:vMerge w:val="continue"/>
          </w:tcPr>
          <w:p/>
        </w:tc>
        <w:tc>
          <w:tcPr>
            <w:tcBorders>
              <w:top w:val="nil"/>
              <w:left w:val="single" w:sz="4"/>
              <w:bottom w:val="single" w:sz="4"/>
              <w:right w:val="single" w:sz="4"/>
            </w:tcBorders>
            <w:vMerge w:val="continue"/>
          </w:tcPr>
          <w:p/>
        </w:tc>
      </w:tr>
      <w:tr>
        <w:tc>
          <w:tcPr>
            <w:gridSpan w:val="3"/>
            <w:tcW w:w="6916" w:type="dxa"/>
            <w:tcBorders>
              <w:top w:val="nil"/>
              <w:left w:val="nil"/>
              <w:bottom w:val="nil"/>
              <w:right w:val="nil"/>
            </w:tcBorders>
          </w:tcPr>
          <w:p>
            <w:pPr>
              <w:pStyle w:val="0"/>
            </w:pPr>
            <w:r>
              <w:rPr>
                <w:sz w:val="20"/>
              </w:rPr>
              <w:t xml:space="preserve">Периодичность: месячная, квартальная, годовая</w:t>
            </w:r>
          </w:p>
        </w:tc>
        <w:tc>
          <w:tcPr>
            <w:tcW w:w="1303" w:type="dxa"/>
            <w:vAlign w:val="bottom"/>
            <w:tcBorders>
              <w:top w:val="nil"/>
              <w:left w:val="nil"/>
              <w:bottom w:val="nil"/>
              <w:right w:val="single" w:sz="4"/>
            </w:tcBorders>
          </w:tcPr>
          <w:p>
            <w:pPr>
              <w:pStyle w:val="0"/>
            </w:pPr>
            <w:r>
              <w:rPr>
                <w:sz w:val="20"/>
              </w:rPr>
            </w:r>
          </w:p>
        </w:tc>
        <w:tc>
          <w:tcPr>
            <w:tcW w:w="850" w:type="dxa"/>
            <w:vAlign w:val="bottom"/>
            <w:tcBorders>
              <w:top w:val="single" w:sz="4"/>
              <w:left w:val="single" w:sz="4"/>
              <w:bottom w:val="single" w:sz="4"/>
              <w:right w:val="single" w:sz="4"/>
            </w:tcBorders>
          </w:tcPr>
          <w:p>
            <w:pPr>
              <w:pStyle w:val="0"/>
            </w:pPr>
            <w:r>
              <w:rPr>
                <w:sz w:val="20"/>
              </w:rPr>
            </w:r>
          </w:p>
        </w:tc>
      </w:tr>
    </w:tbl>
    <w:p>
      <w:pPr>
        <w:pStyle w:val="0"/>
        <w:jc w:val="both"/>
      </w:pPr>
      <w:r>
        <w:rPr>
          <w:sz w:val="20"/>
        </w:rPr>
      </w:r>
    </w:p>
    <w:p>
      <w:pPr>
        <w:pStyle w:val="1"/>
        <w:jc w:val="both"/>
      </w:pPr>
      <w:r>
        <w:rPr>
          <w:sz w:val="20"/>
        </w:rPr>
        <w:t xml:space="preserve">                                                                       с. 2</w:t>
      </w:r>
    </w:p>
    <w:p>
      <w:pPr>
        <w:pStyle w:val="1"/>
        <w:jc w:val="both"/>
      </w:pPr>
      <w:r>
        <w:rPr>
          <w:sz w:val="20"/>
        </w:rPr>
      </w:r>
    </w:p>
    <w:p>
      <w:pPr>
        <w:pStyle w:val="1"/>
        <w:jc w:val="both"/>
      </w:pPr>
      <w:r>
        <w:rPr>
          <w:sz w:val="20"/>
        </w:rPr>
        <w:t xml:space="preserve">1. Движение денежных средств</w:t>
      </w:r>
    </w:p>
    <w:p>
      <w:pPr>
        <w:pStyle w:val="0"/>
        <w:jc w:val="both"/>
      </w:pPr>
      <w:r>
        <w:rPr>
          <w:sz w:val="20"/>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6690"/>
        <w:gridCol w:w="1134"/>
        <w:gridCol w:w="1247"/>
      </w:tblGrid>
      <w:tr>
        <w:tblPrEx>
          <w:tblBorders>
            <w:right w:val="nil"/>
          </w:tblBorders>
        </w:tblPrEx>
        <w:tc>
          <w:tcPr>
            <w:tcW w:w="6690" w:type="dxa"/>
            <w:tcBorders>
              <w:left w:val="nil"/>
            </w:tcBorders>
          </w:tcPr>
          <w:p>
            <w:pPr>
              <w:pStyle w:val="0"/>
              <w:jc w:val="center"/>
            </w:pPr>
            <w:r>
              <w:rPr>
                <w:sz w:val="20"/>
              </w:rPr>
              <w:t xml:space="preserve">Наименование показателя</w:t>
            </w:r>
          </w:p>
        </w:tc>
        <w:tc>
          <w:tcPr>
            <w:tcW w:w="1134" w:type="dxa"/>
          </w:tcPr>
          <w:p>
            <w:pPr>
              <w:pStyle w:val="0"/>
              <w:jc w:val="center"/>
            </w:pPr>
            <w:r>
              <w:rPr>
                <w:sz w:val="20"/>
              </w:rPr>
              <w:t xml:space="preserve">Код строки</w:t>
            </w:r>
          </w:p>
        </w:tc>
        <w:tc>
          <w:tcPr>
            <w:tcW w:w="1247" w:type="dxa"/>
            <w:tcBorders>
              <w:right w:val="nil"/>
            </w:tcBorders>
          </w:tcPr>
          <w:p>
            <w:pPr>
              <w:pStyle w:val="0"/>
              <w:jc w:val="center"/>
            </w:pPr>
            <w:r>
              <w:rPr>
                <w:sz w:val="20"/>
              </w:rPr>
              <w:t xml:space="preserve">Сумма</w:t>
            </w:r>
          </w:p>
        </w:tc>
      </w:tr>
      <w:tr>
        <w:tblPrEx>
          <w:tblBorders>
            <w:right w:val="nil"/>
          </w:tblBorders>
        </w:tblPrEx>
        <w:tc>
          <w:tcPr>
            <w:tcW w:w="6690" w:type="dxa"/>
            <w:tcBorders>
              <w:left w:val="nil"/>
            </w:tcBorders>
          </w:tcPr>
          <w:p>
            <w:pPr>
              <w:pStyle w:val="0"/>
              <w:jc w:val="center"/>
            </w:pPr>
            <w:r>
              <w:rPr>
                <w:sz w:val="20"/>
              </w:rPr>
              <w:t xml:space="preserve">1</w:t>
            </w:r>
          </w:p>
        </w:tc>
        <w:tc>
          <w:tcPr>
            <w:tcW w:w="1134" w:type="dxa"/>
          </w:tcPr>
          <w:p>
            <w:pPr>
              <w:pStyle w:val="0"/>
              <w:jc w:val="center"/>
            </w:pPr>
            <w:r>
              <w:rPr>
                <w:sz w:val="20"/>
              </w:rPr>
              <w:t xml:space="preserve">2</w:t>
            </w:r>
          </w:p>
        </w:tc>
        <w:tc>
          <w:tcPr>
            <w:tcW w:w="1247" w:type="dxa"/>
            <w:tcBorders>
              <w:right w:val="nil"/>
            </w:tcBorders>
          </w:tcPr>
          <w:p>
            <w:pPr>
              <w:pStyle w:val="0"/>
              <w:jc w:val="center"/>
            </w:pPr>
            <w:r>
              <w:rPr>
                <w:sz w:val="20"/>
              </w:rPr>
              <w:t xml:space="preserve">3</w:t>
            </w:r>
          </w:p>
        </w:tc>
      </w:tr>
      <w:tr>
        <w:tc>
          <w:tcPr>
            <w:tcW w:w="6690" w:type="dxa"/>
            <w:tcBorders>
              <w:left w:val="nil"/>
            </w:tcBorders>
          </w:tcPr>
          <w:p>
            <w:pPr>
              <w:pStyle w:val="0"/>
              <w:jc w:val="both"/>
            </w:pPr>
            <w:r>
              <w:rPr>
                <w:sz w:val="20"/>
              </w:rPr>
              <w:t xml:space="preserve">Остаток Иного межбюджетного трансферта на начало текущего финансового года, всего</w:t>
            </w:r>
          </w:p>
        </w:tc>
        <w:tc>
          <w:tcPr>
            <w:tcW w:w="1134" w:type="dxa"/>
            <w:vAlign w:val="bottom"/>
          </w:tcPr>
          <w:bookmarkStart w:id="1321" w:name="P1321"/>
          <w:bookmarkEnd w:id="1321"/>
          <w:p>
            <w:pPr>
              <w:pStyle w:val="0"/>
              <w:jc w:val="center"/>
            </w:pPr>
            <w:r>
              <w:rPr>
                <w:sz w:val="20"/>
              </w:rPr>
              <w:t xml:space="preserve">010</w:t>
            </w:r>
          </w:p>
        </w:tc>
        <w:tc>
          <w:tcPr>
            <w:tcW w:w="1247" w:type="dxa"/>
          </w:tcPr>
          <w:p>
            <w:pPr>
              <w:pStyle w:val="0"/>
            </w:pPr>
            <w:r>
              <w:rPr>
                <w:sz w:val="20"/>
              </w:rPr>
            </w:r>
          </w:p>
        </w:tc>
      </w:tr>
      <w:tr>
        <w:tc>
          <w:tcPr>
            <w:tcW w:w="6690" w:type="dxa"/>
            <w:tcBorders>
              <w:left w:val="nil"/>
            </w:tcBorders>
          </w:tcPr>
          <w:p>
            <w:pPr>
              <w:pStyle w:val="0"/>
              <w:ind w:left="283"/>
            </w:pPr>
            <w:r>
              <w:rPr>
                <w:sz w:val="20"/>
              </w:rPr>
              <w:t xml:space="preserve">из них:</w:t>
            </w:r>
          </w:p>
          <w:p>
            <w:pPr>
              <w:pStyle w:val="0"/>
              <w:ind w:left="283"/>
            </w:pPr>
            <w:r>
              <w:rPr>
                <w:sz w:val="20"/>
              </w:rPr>
              <w:t xml:space="preserve">подлежит возврату в федеральный бюджет</w:t>
            </w:r>
          </w:p>
        </w:tc>
        <w:tc>
          <w:tcPr>
            <w:tcW w:w="1134" w:type="dxa"/>
            <w:vAlign w:val="bottom"/>
          </w:tcPr>
          <w:p>
            <w:pPr>
              <w:pStyle w:val="0"/>
              <w:jc w:val="center"/>
            </w:pPr>
            <w:r>
              <w:rPr>
                <w:sz w:val="20"/>
              </w:rPr>
              <w:t xml:space="preserve">011</w:t>
            </w:r>
          </w:p>
        </w:tc>
        <w:tc>
          <w:tcPr>
            <w:tcW w:w="1247" w:type="dxa"/>
          </w:tcPr>
          <w:p>
            <w:pPr>
              <w:pStyle w:val="0"/>
            </w:pPr>
            <w:r>
              <w:rPr>
                <w:sz w:val="20"/>
              </w:rPr>
            </w:r>
          </w:p>
        </w:tc>
      </w:tr>
      <w:tr>
        <w:tc>
          <w:tcPr>
            <w:tcW w:w="6690" w:type="dxa"/>
            <w:tcBorders>
              <w:left w:val="nil"/>
            </w:tcBorders>
          </w:tcPr>
          <w:p>
            <w:pPr>
              <w:pStyle w:val="0"/>
              <w:jc w:val="both"/>
            </w:pPr>
            <w:r>
              <w:rPr>
                <w:sz w:val="20"/>
              </w:rPr>
              <w:t xml:space="preserve">Размер Иного межбюджетного трансферта, подлежащего предоставлению в текущем финансовом году</w:t>
            </w:r>
          </w:p>
        </w:tc>
        <w:tc>
          <w:tcPr>
            <w:tcW w:w="1134" w:type="dxa"/>
            <w:vAlign w:val="bottom"/>
          </w:tcPr>
          <w:p>
            <w:pPr>
              <w:pStyle w:val="0"/>
              <w:jc w:val="center"/>
            </w:pPr>
            <w:r>
              <w:rPr>
                <w:sz w:val="20"/>
              </w:rPr>
              <w:t xml:space="preserve">020</w:t>
            </w:r>
          </w:p>
        </w:tc>
        <w:tc>
          <w:tcPr>
            <w:tcW w:w="1247" w:type="dxa"/>
          </w:tcPr>
          <w:p>
            <w:pPr>
              <w:pStyle w:val="0"/>
            </w:pPr>
            <w:r>
              <w:rPr>
                <w:sz w:val="20"/>
              </w:rPr>
            </w:r>
          </w:p>
        </w:tc>
      </w:tr>
      <w:tr>
        <w:tc>
          <w:tcPr>
            <w:tcW w:w="6690" w:type="dxa"/>
            <w:tcBorders>
              <w:left w:val="nil"/>
            </w:tcBorders>
          </w:tcPr>
          <w:p>
            <w:pPr>
              <w:pStyle w:val="0"/>
              <w:jc w:val="both"/>
            </w:pPr>
            <w:r>
              <w:rPr>
                <w:sz w:val="20"/>
              </w:rPr>
              <w:t xml:space="preserve">Предусмотрено бюджетных ассигнований на исполнение расходных обязательств, в целях софинансирования которых предоставляется Иной межбюджетный трансферт на текущий финансовый год, всего</w:t>
            </w:r>
          </w:p>
        </w:tc>
        <w:tc>
          <w:tcPr>
            <w:tcW w:w="1134" w:type="dxa"/>
            <w:vAlign w:val="bottom"/>
          </w:tcPr>
          <w:bookmarkStart w:id="1331" w:name="P1331"/>
          <w:bookmarkEnd w:id="1331"/>
          <w:p>
            <w:pPr>
              <w:pStyle w:val="0"/>
              <w:jc w:val="center"/>
            </w:pPr>
            <w:r>
              <w:rPr>
                <w:sz w:val="20"/>
              </w:rPr>
              <w:t xml:space="preserve">030</w:t>
            </w:r>
          </w:p>
        </w:tc>
        <w:tc>
          <w:tcPr>
            <w:tcW w:w="1247" w:type="dxa"/>
          </w:tcPr>
          <w:p>
            <w:pPr>
              <w:pStyle w:val="0"/>
            </w:pPr>
            <w:r>
              <w:rPr>
                <w:sz w:val="20"/>
              </w:rPr>
            </w:r>
          </w:p>
        </w:tc>
      </w:tr>
      <w:tr>
        <w:tc>
          <w:tcPr>
            <w:tcW w:w="6690" w:type="dxa"/>
            <w:tcBorders>
              <w:left w:val="nil"/>
            </w:tcBorders>
          </w:tcPr>
          <w:p>
            <w:pPr>
              <w:pStyle w:val="0"/>
              <w:jc w:val="both"/>
            </w:pPr>
            <w:r>
              <w:rPr>
                <w:sz w:val="20"/>
              </w:rPr>
              <w:t xml:space="preserve">Поступило средств Иного межбюджетного трансферта</w:t>
            </w:r>
          </w:p>
        </w:tc>
        <w:tc>
          <w:tcPr>
            <w:tcW w:w="1134" w:type="dxa"/>
            <w:vAlign w:val="bottom"/>
          </w:tcPr>
          <w:bookmarkStart w:id="1334" w:name="P1334"/>
          <w:bookmarkEnd w:id="1334"/>
          <w:p>
            <w:pPr>
              <w:pStyle w:val="0"/>
              <w:jc w:val="center"/>
            </w:pPr>
            <w:r>
              <w:rPr>
                <w:sz w:val="20"/>
              </w:rPr>
              <w:t xml:space="preserve">040</w:t>
            </w:r>
          </w:p>
        </w:tc>
        <w:tc>
          <w:tcPr>
            <w:tcW w:w="1247" w:type="dxa"/>
          </w:tcPr>
          <w:p>
            <w:pPr>
              <w:pStyle w:val="0"/>
            </w:pPr>
            <w:r>
              <w:rPr>
                <w:sz w:val="20"/>
              </w:rPr>
            </w:r>
          </w:p>
        </w:tc>
      </w:tr>
      <w:tr>
        <w:tc>
          <w:tcPr>
            <w:tcW w:w="6690" w:type="dxa"/>
            <w:tcBorders>
              <w:left w:val="nil"/>
            </w:tcBorders>
          </w:tcPr>
          <w:p>
            <w:pPr>
              <w:pStyle w:val="0"/>
              <w:jc w:val="both"/>
            </w:pPr>
            <w:r>
              <w:rPr>
                <w:sz w:val="20"/>
              </w:rPr>
              <w:t xml:space="preserve">Кассовые расходы на отчетную дату, всего</w:t>
            </w:r>
          </w:p>
        </w:tc>
        <w:tc>
          <w:tcPr>
            <w:tcW w:w="1134" w:type="dxa"/>
            <w:vAlign w:val="bottom"/>
          </w:tcPr>
          <w:bookmarkStart w:id="1337" w:name="P1337"/>
          <w:bookmarkEnd w:id="1337"/>
          <w:p>
            <w:pPr>
              <w:pStyle w:val="0"/>
              <w:jc w:val="center"/>
            </w:pPr>
            <w:r>
              <w:rPr>
                <w:sz w:val="20"/>
              </w:rPr>
              <w:t xml:space="preserve">050</w:t>
            </w:r>
          </w:p>
        </w:tc>
        <w:tc>
          <w:tcPr>
            <w:tcW w:w="1247" w:type="dxa"/>
          </w:tcPr>
          <w:p>
            <w:pPr>
              <w:pStyle w:val="0"/>
            </w:pPr>
            <w:r>
              <w:rPr>
                <w:sz w:val="20"/>
              </w:rPr>
            </w:r>
          </w:p>
        </w:tc>
      </w:tr>
      <w:tr>
        <w:tc>
          <w:tcPr>
            <w:tcW w:w="6690" w:type="dxa"/>
            <w:tcBorders>
              <w:left w:val="nil"/>
            </w:tcBorders>
          </w:tcPr>
          <w:p>
            <w:pPr>
              <w:pStyle w:val="0"/>
              <w:ind w:left="283"/>
            </w:pPr>
            <w:r>
              <w:rPr>
                <w:sz w:val="20"/>
              </w:rPr>
              <w:t xml:space="preserve">из них:</w:t>
            </w:r>
          </w:p>
          <w:p>
            <w:pPr>
              <w:pStyle w:val="0"/>
              <w:ind w:left="283"/>
            </w:pPr>
            <w:r>
              <w:rPr>
                <w:sz w:val="20"/>
              </w:rPr>
              <w:t xml:space="preserve">в объеме софинансирования из федерального бюджета</w:t>
            </w:r>
          </w:p>
        </w:tc>
        <w:tc>
          <w:tcPr>
            <w:tcW w:w="1134" w:type="dxa"/>
            <w:vAlign w:val="bottom"/>
          </w:tcPr>
          <w:bookmarkStart w:id="1341" w:name="P1341"/>
          <w:bookmarkEnd w:id="1341"/>
          <w:p>
            <w:pPr>
              <w:pStyle w:val="0"/>
              <w:jc w:val="center"/>
            </w:pPr>
            <w:r>
              <w:rPr>
                <w:sz w:val="20"/>
              </w:rPr>
              <w:t xml:space="preserve">051</w:t>
            </w:r>
          </w:p>
        </w:tc>
        <w:tc>
          <w:tcPr>
            <w:tcW w:w="1247" w:type="dxa"/>
          </w:tcPr>
          <w:p>
            <w:pPr>
              <w:pStyle w:val="0"/>
            </w:pPr>
            <w:r>
              <w:rPr>
                <w:sz w:val="20"/>
              </w:rPr>
            </w:r>
          </w:p>
        </w:tc>
      </w:tr>
      <w:tr>
        <w:tc>
          <w:tcPr>
            <w:tcW w:w="6690" w:type="dxa"/>
            <w:tcBorders>
              <w:left w:val="nil"/>
            </w:tcBorders>
          </w:tcPr>
          <w:p>
            <w:pPr>
              <w:pStyle w:val="0"/>
              <w:jc w:val="both"/>
            </w:pPr>
            <w:r>
              <w:rPr>
                <w:sz w:val="20"/>
              </w:rPr>
              <w:t xml:space="preserve">Восстановлено средств, подлежащих возврату в федеральный бюджет, всего</w:t>
            </w:r>
          </w:p>
        </w:tc>
        <w:tc>
          <w:tcPr>
            <w:tcW w:w="1134" w:type="dxa"/>
            <w:vAlign w:val="bottom"/>
          </w:tcPr>
          <w:bookmarkStart w:id="1344" w:name="P1344"/>
          <w:bookmarkEnd w:id="1344"/>
          <w:p>
            <w:pPr>
              <w:pStyle w:val="0"/>
              <w:jc w:val="center"/>
            </w:pPr>
            <w:r>
              <w:rPr>
                <w:sz w:val="20"/>
              </w:rPr>
              <w:t xml:space="preserve">060</w:t>
            </w:r>
          </w:p>
        </w:tc>
        <w:tc>
          <w:tcPr>
            <w:tcW w:w="1247" w:type="dxa"/>
          </w:tcPr>
          <w:p>
            <w:pPr>
              <w:pStyle w:val="0"/>
            </w:pPr>
            <w:r>
              <w:rPr>
                <w:sz w:val="20"/>
              </w:rPr>
            </w:r>
          </w:p>
        </w:tc>
      </w:tr>
      <w:tr>
        <w:tc>
          <w:tcPr>
            <w:tcW w:w="6690" w:type="dxa"/>
            <w:tcBorders>
              <w:left w:val="nil"/>
            </w:tcBorders>
          </w:tcPr>
          <w:p>
            <w:pPr>
              <w:pStyle w:val="0"/>
              <w:ind w:left="283"/>
            </w:pPr>
            <w:r>
              <w:rPr>
                <w:sz w:val="20"/>
              </w:rPr>
              <w:t xml:space="preserve">в том числе:</w:t>
            </w:r>
          </w:p>
          <w:p>
            <w:pPr>
              <w:pStyle w:val="0"/>
              <w:ind w:left="283"/>
            </w:pPr>
            <w:r>
              <w:rPr>
                <w:sz w:val="20"/>
              </w:rPr>
              <w:t xml:space="preserve">использованных в текущем году, всего</w:t>
            </w:r>
          </w:p>
        </w:tc>
        <w:tc>
          <w:tcPr>
            <w:tcW w:w="1134" w:type="dxa"/>
            <w:vAlign w:val="bottom"/>
          </w:tcPr>
          <w:p>
            <w:pPr>
              <w:pStyle w:val="0"/>
              <w:jc w:val="center"/>
            </w:pPr>
            <w:r>
              <w:rPr>
                <w:sz w:val="20"/>
              </w:rPr>
              <w:t xml:space="preserve">061</w:t>
            </w:r>
          </w:p>
        </w:tc>
        <w:tc>
          <w:tcPr>
            <w:tcW w:w="1247" w:type="dxa"/>
          </w:tcPr>
          <w:p>
            <w:pPr>
              <w:pStyle w:val="0"/>
            </w:pPr>
            <w:r>
              <w:rPr>
                <w:sz w:val="20"/>
              </w:rPr>
            </w:r>
          </w:p>
        </w:tc>
      </w:tr>
      <w:tr>
        <w:tc>
          <w:tcPr>
            <w:tcW w:w="6690" w:type="dxa"/>
            <w:tcBorders>
              <w:left w:val="nil"/>
            </w:tcBorders>
          </w:tcPr>
          <w:p>
            <w:pPr>
              <w:pStyle w:val="0"/>
              <w:ind w:left="566"/>
            </w:pPr>
            <w:r>
              <w:rPr>
                <w:sz w:val="20"/>
              </w:rPr>
              <w:t xml:space="preserve">из них:</w:t>
            </w:r>
          </w:p>
          <w:p>
            <w:pPr>
              <w:pStyle w:val="0"/>
              <w:ind w:left="566"/>
            </w:pPr>
            <w:r>
              <w:rPr>
                <w:sz w:val="20"/>
              </w:rPr>
              <w:t xml:space="preserve">не по целевому назначению</w:t>
            </w:r>
          </w:p>
        </w:tc>
        <w:tc>
          <w:tcPr>
            <w:tcW w:w="1134" w:type="dxa"/>
            <w:vAlign w:val="bottom"/>
          </w:tcPr>
          <w:p>
            <w:pPr>
              <w:pStyle w:val="0"/>
              <w:jc w:val="center"/>
            </w:pPr>
            <w:r>
              <w:rPr>
                <w:sz w:val="20"/>
              </w:rPr>
              <w:t xml:space="preserve">062</w:t>
            </w:r>
          </w:p>
        </w:tc>
        <w:tc>
          <w:tcPr>
            <w:tcW w:w="1247" w:type="dxa"/>
          </w:tcPr>
          <w:p>
            <w:pPr>
              <w:pStyle w:val="0"/>
            </w:pPr>
            <w:r>
              <w:rPr>
                <w:sz w:val="20"/>
              </w:rPr>
            </w:r>
          </w:p>
        </w:tc>
      </w:tr>
      <w:tr>
        <w:tc>
          <w:tcPr>
            <w:tcW w:w="6690" w:type="dxa"/>
            <w:tcBorders>
              <w:left w:val="nil"/>
            </w:tcBorders>
          </w:tcPr>
          <w:p>
            <w:pPr>
              <w:pStyle w:val="0"/>
              <w:ind w:left="283"/>
            </w:pPr>
            <w:r>
              <w:rPr>
                <w:sz w:val="20"/>
              </w:rPr>
              <w:t xml:space="preserve">использованных в предшествующие годы, всего</w:t>
            </w:r>
          </w:p>
        </w:tc>
        <w:tc>
          <w:tcPr>
            <w:tcW w:w="1134" w:type="dxa"/>
            <w:vAlign w:val="bottom"/>
          </w:tcPr>
          <w:p>
            <w:pPr>
              <w:pStyle w:val="0"/>
              <w:jc w:val="center"/>
            </w:pPr>
            <w:r>
              <w:rPr>
                <w:sz w:val="20"/>
              </w:rPr>
              <w:t xml:space="preserve">063</w:t>
            </w:r>
          </w:p>
        </w:tc>
        <w:tc>
          <w:tcPr>
            <w:tcW w:w="1247" w:type="dxa"/>
          </w:tcPr>
          <w:p>
            <w:pPr>
              <w:pStyle w:val="0"/>
            </w:pPr>
            <w:r>
              <w:rPr>
                <w:sz w:val="20"/>
              </w:rPr>
            </w:r>
          </w:p>
        </w:tc>
      </w:tr>
      <w:tr>
        <w:tc>
          <w:tcPr>
            <w:tcW w:w="6690" w:type="dxa"/>
            <w:tcBorders>
              <w:left w:val="nil"/>
            </w:tcBorders>
          </w:tcPr>
          <w:p>
            <w:pPr>
              <w:pStyle w:val="0"/>
              <w:ind w:left="566"/>
            </w:pPr>
            <w:r>
              <w:rPr>
                <w:sz w:val="20"/>
              </w:rPr>
              <w:t xml:space="preserve">из них:</w:t>
            </w:r>
          </w:p>
          <w:p>
            <w:pPr>
              <w:pStyle w:val="0"/>
              <w:ind w:left="566"/>
            </w:pPr>
            <w:r>
              <w:rPr>
                <w:sz w:val="20"/>
              </w:rPr>
              <w:t xml:space="preserve">не по целевому назначению</w:t>
            </w:r>
          </w:p>
        </w:tc>
        <w:tc>
          <w:tcPr>
            <w:tcW w:w="1134" w:type="dxa"/>
            <w:vAlign w:val="bottom"/>
          </w:tcPr>
          <w:p>
            <w:pPr>
              <w:pStyle w:val="0"/>
              <w:jc w:val="center"/>
            </w:pPr>
            <w:r>
              <w:rPr>
                <w:sz w:val="20"/>
              </w:rPr>
              <w:t xml:space="preserve">064</w:t>
            </w:r>
          </w:p>
        </w:tc>
        <w:tc>
          <w:tcPr>
            <w:tcW w:w="1247" w:type="dxa"/>
          </w:tcPr>
          <w:p>
            <w:pPr>
              <w:pStyle w:val="0"/>
            </w:pPr>
            <w:r>
              <w:rPr>
                <w:sz w:val="20"/>
              </w:rPr>
            </w:r>
          </w:p>
        </w:tc>
      </w:tr>
      <w:tr>
        <w:tc>
          <w:tcPr>
            <w:tcW w:w="6690" w:type="dxa"/>
            <w:tcBorders>
              <w:left w:val="nil"/>
            </w:tcBorders>
          </w:tcPr>
          <w:p>
            <w:pPr>
              <w:pStyle w:val="0"/>
              <w:jc w:val="both"/>
            </w:pPr>
            <w:r>
              <w:rPr>
                <w:sz w:val="20"/>
              </w:rPr>
              <w:t xml:space="preserve">Возвращено (взыскано) в федеральный бюджет, всего</w:t>
            </w:r>
          </w:p>
        </w:tc>
        <w:tc>
          <w:tcPr>
            <w:tcW w:w="1134" w:type="dxa"/>
            <w:vAlign w:val="bottom"/>
          </w:tcPr>
          <w:bookmarkStart w:id="1362" w:name="P1362"/>
          <w:bookmarkEnd w:id="1362"/>
          <w:p>
            <w:pPr>
              <w:pStyle w:val="0"/>
              <w:jc w:val="center"/>
            </w:pPr>
            <w:r>
              <w:rPr>
                <w:sz w:val="20"/>
              </w:rPr>
              <w:t xml:space="preserve">070</w:t>
            </w:r>
          </w:p>
        </w:tc>
        <w:tc>
          <w:tcPr>
            <w:tcW w:w="1247" w:type="dxa"/>
          </w:tcPr>
          <w:p>
            <w:pPr>
              <w:pStyle w:val="0"/>
            </w:pPr>
            <w:r>
              <w:rPr>
                <w:sz w:val="20"/>
              </w:rPr>
            </w:r>
          </w:p>
        </w:tc>
      </w:tr>
      <w:tr>
        <w:tc>
          <w:tcPr>
            <w:tcW w:w="6690" w:type="dxa"/>
            <w:tcBorders>
              <w:left w:val="nil"/>
            </w:tcBorders>
          </w:tcPr>
          <w:p>
            <w:pPr>
              <w:pStyle w:val="0"/>
              <w:ind w:left="283"/>
            </w:pPr>
            <w:r>
              <w:rPr>
                <w:sz w:val="20"/>
              </w:rPr>
              <w:t xml:space="preserve">в том числе:</w:t>
            </w:r>
          </w:p>
          <w:p>
            <w:pPr>
              <w:pStyle w:val="0"/>
              <w:ind w:left="283"/>
            </w:pPr>
            <w:r>
              <w:rPr>
                <w:sz w:val="20"/>
              </w:rPr>
              <w:t xml:space="preserve">остаток средств Иного межбюджетного трансферта на начало текущего финансового года</w:t>
            </w:r>
          </w:p>
        </w:tc>
        <w:tc>
          <w:tcPr>
            <w:tcW w:w="1134" w:type="dxa"/>
            <w:vAlign w:val="bottom"/>
          </w:tcPr>
          <w:p>
            <w:pPr>
              <w:pStyle w:val="0"/>
              <w:jc w:val="center"/>
            </w:pPr>
            <w:r>
              <w:rPr>
                <w:sz w:val="20"/>
              </w:rPr>
              <w:t xml:space="preserve">071</w:t>
            </w:r>
          </w:p>
        </w:tc>
        <w:tc>
          <w:tcPr>
            <w:tcW w:w="1247" w:type="dxa"/>
          </w:tcPr>
          <w:p>
            <w:pPr>
              <w:pStyle w:val="0"/>
            </w:pPr>
            <w:r>
              <w:rPr>
                <w:sz w:val="20"/>
              </w:rPr>
            </w:r>
          </w:p>
        </w:tc>
      </w:tr>
      <w:tr>
        <w:tc>
          <w:tcPr>
            <w:tcW w:w="6690" w:type="dxa"/>
            <w:tcBorders>
              <w:left w:val="nil"/>
            </w:tcBorders>
          </w:tcPr>
          <w:p>
            <w:pPr>
              <w:pStyle w:val="0"/>
              <w:ind w:left="283"/>
            </w:pPr>
            <w:r>
              <w:rPr>
                <w:sz w:val="20"/>
              </w:rPr>
              <w:t xml:space="preserve">восстановленных средств, подлежащих перечислению в федеральный бюджет, всего</w:t>
            </w:r>
          </w:p>
        </w:tc>
        <w:tc>
          <w:tcPr>
            <w:tcW w:w="1134" w:type="dxa"/>
            <w:vAlign w:val="bottom"/>
          </w:tcPr>
          <w:p>
            <w:pPr>
              <w:pStyle w:val="0"/>
              <w:jc w:val="center"/>
            </w:pPr>
            <w:r>
              <w:rPr>
                <w:sz w:val="20"/>
              </w:rPr>
              <w:t xml:space="preserve">072</w:t>
            </w:r>
          </w:p>
        </w:tc>
        <w:tc>
          <w:tcPr>
            <w:tcW w:w="1247" w:type="dxa"/>
          </w:tcPr>
          <w:p>
            <w:pPr>
              <w:pStyle w:val="0"/>
            </w:pPr>
            <w:r>
              <w:rPr>
                <w:sz w:val="20"/>
              </w:rPr>
            </w:r>
          </w:p>
        </w:tc>
      </w:tr>
      <w:tr>
        <w:tc>
          <w:tcPr>
            <w:tcW w:w="6690" w:type="dxa"/>
            <w:tcBorders>
              <w:left w:val="nil"/>
            </w:tcBorders>
          </w:tcPr>
          <w:p>
            <w:pPr>
              <w:pStyle w:val="0"/>
              <w:ind w:left="283"/>
            </w:pPr>
            <w:r>
              <w:rPr>
                <w:sz w:val="20"/>
              </w:rPr>
              <w:t xml:space="preserve">из них:</w:t>
            </w:r>
          </w:p>
          <w:p>
            <w:pPr>
              <w:pStyle w:val="0"/>
              <w:ind w:left="283"/>
            </w:pPr>
            <w:r>
              <w:rPr>
                <w:sz w:val="20"/>
              </w:rPr>
              <w:t xml:space="preserve">использованных в текущем году, включая использованных не по целевому назначению</w:t>
            </w:r>
          </w:p>
        </w:tc>
        <w:tc>
          <w:tcPr>
            <w:tcW w:w="1134" w:type="dxa"/>
            <w:vAlign w:val="bottom"/>
          </w:tcPr>
          <w:p>
            <w:pPr>
              <w:pStyle w:val="0"/>
              <w:jc w:val="center"/>
            </w:pPr>
            <w:r>
              <w:rPr>
                <w:sz w:val="20"/>
              </w:rPr>
              <w:t xml:space="preserve">073</w:t>
            </w:r>
          </w:p>
        </w:tc>
        <w:tc>
          <w:tcPr>
            <w:tcW w:w="1247" w:type="dxa"/>
          </w:tcPr>
          <w:p>
            <w:pPr>
              <w:pStyle w:val="0"/>
            </w:pPr>
            <w:r>
              <w:rPr>
                <w:sz w:val="20"/>
              </w:rPr>
            </w:r>
          </w:p>
        </w:tc>
      </w:tr>
      <w:tr>
        <w:tc>
          <w:tcPr>
            <w:tcW w:w="6690" w:type="dxa"/>
            <w:tcBorders>
              <w:left w:val="nil"/>
            </w:tcBorders>
          </w:tcPr>
          <w:p>
            <w:pPr>
              <w:pStyle w:val="0"/>
              <w:ind w:left="283"/>
            </w:pPr>
            <w:r>
              <w:rPr>
                <w:sz w:val="20"/>
              </w:rPr>
              <w:t xml:space="preserve">использованных в предшествующие годы, включая использованных не по целевому назначению</w:t>
            </w:r>
          </w:p>
        </w:tc>
        <w:tc>
          <w:tcPr>
            <w:tcW w:w="1134" w:type="dxa"/>
            <w:vAlign w:val="bottom"/>
          </w:tcPr>
          <w:p>
            <w:pPr>
              <w:pStyle w:val="0"/>
              <w:jc w:val="center"/>
            </w:pPr>
            <w:r>
              <w:rPr>
                <w:sz w:val="20"/>
              </w:rPr>
              <w:t xml:space="preserve">074</w:t>
            </w:r>
          </w:p>
        </w:tc>
        <w:tc>
          <w:tcPr>
            <w:tcW w:w="1247" w:type="dxa"/>
          </w:tcPr>
          <w:p>
            <w:pPr>
              <w:pStyle w:val="0"/>
            </w:pPr>
            <w:r>
              <w:rPr>
                <w:sz w:val="20"/>
              </w:rPr>
            </w:r>
          </w:p>
        </w:tc>
      </w:tr>
      <w:tr>
        <w:tc>
          <w:tcPr>
            <w:tcW w:w="6690" w:type="dxa"/>
            <w:tcBorders>
              <w:left w:val="nil"/>
            </w:tcBorders>
          </w:tcPr>
          <w:p>
            <w:pPr>
              <w:pStyle w:val="0"/>
              <w:jc w:val="both"/>
            </w:pPr>
            <w:r>
              <w:rPr>
                <w:sz w:val="20"/>
              </w:rPr>
              <w:t xml:space="preserve">Остаток средств Иного межбюджетного трансферта на конец отчетного периода (года) (</w:t>
            </w:r>
            <w:hyperlink w:history="0" w:anchor="P1321" w:tooltip="010">
              <w:r>
                <w:rPr>
                  <w:sz w:val="20"/>
                  <w:color w:val="0000ff"/>
                </w:rPr>
                <w:t xml:space="preserve">стр. 10</w:t>
              </w:r>
            </w:hyperlink>
            <w:r>
              <w:rPr>
                <w:sz w:val="20"/>
              </w:rPr>
              <w:t xml:space="preserve"> + </w:t>
            </w:r>
            <w:hyperlink w:history="0" w:anchor="P1334" w:tooltip="040">
              <w:r>
                <w:rPr>
                  <w:sz w:val="20"/>
                  <w:color w:val="0000ff"/>
                </w:rPr>
                <w:t xml:space="preserve">стр. 40</w:t>
              </w:r>
            </w:hyperlink>
            <w:r>
              <w:rPr>
                <w:sz w:val="20"/>
              </w:rPr>
              <w:t xml:space="preserve"> - </w:t>
            </w:r>
            <w:hyperlink w:history="0" w:anchor="P1341" w:tooltip="051">
              <w:r>
                <w:rPr>
                  <w:sz w:val="20"/>
                  <w:color w:val="0000ff"/>
                </w:rPr>
                <w:t xml:space="preserve">стр. 51</w:t>
              </w:r>
            </w:hyperlink>
            <w:r>
              <w:rPr>
                <w:sz w:val="20"/>
              </w:rPr>
              <w:t xml:space="preserve"> + </w:t>
            </w:r>
            <w:hyperlink w:history="0" w:anchor="P1344" w:tooltip="060">
              <w:r>
                <w:rPr>
                  <w:sz w:val="20"/>
                  <w:color w:val="0000ff"/>
                </w:rPr>
                <w:t xml:space="preserve">стр. 60</w:t>
              </w:r>
            </w:hyperlink>
            <w:r>
              <w:rPr>
                <w:sz w:val="20"/>
              </w:rPr>
              <w:t xml:space="preserve"> - </w:t>
            </w:r>
            <w:hyperlink w:history="0" w:anchor="P1362" w:tooltip="070">
              <w:r>
                <w:rPr>
                  <w:sz w:val="20"/>
                  <w:color w:val="0000ff"/>
                </w:rPr>
                <w:t xml:space="preserve">стр. 70</w:t>
              </w:r>
            </w:hyperlink>
            <w:r>
              <w:rPr>
                <w:sz w:val="20"/>
              </w:rPr>
              <w:t xml:space="preserve">), всего</w:t>
            </w:r>
          </w:p>
        </w:tc>
        <w:tc>
          <w:tcPr>
            <w:tcW w:w="1134" w:type="dxa"/>
            <w:vAlign w:val="bottom"/>
          </w:tcPr>
          <w:p>
            <w:pPr>
              <w:pStyle w:val="0"/>
              <w:jc w:val="center"/>
            </w:pPr>
            <w:r>
              <w:rPr>
                <w:sz w:val="20"/>
              </w:rPr>
              <w:t xml:space="preserve">080</w:t>
            </w:r>
          </w:p>
        </w:tc>
        <w:tc>
          <w:tcPr>
            <w:tcW w:w="1247" w:type="dxa"/>
          </w:tcPr>
          <w:p>
            <w:pPr>
              <w:pStyle w:val="0"/>
            </w:pPr>
            <w:r>
              <w:rPr>
                <w:sz w:val="20"/>
              </w:rPr>
            </w:r>
          </w:p>
        </w:tc>
      </w:tr>
      <w:tr>
        <w:tc>
          <w:tcPr>
            <w:tcW w:w="6690" w:type="dxa"/>
            <w:tcBorders>
              <w:left w:val="nil"/>
            </w:tcBorders>
          </w:tcPr>
          <w:p>
            <w:pPr>
              <w:pStyle w:val="0"/>
              <w:ind w:left="283"/>
            </w:pPr>
            <w:r>
              <w:rPr>
                <w:sz w:val="20"/>
              </w:rPr>
              <w:t xml:space="preserve">из них:</w:t>
            </w:r>
          </w:p>
          <w:p>
            <w:pPr>
              <w:pStyle w:val="0"/>
              <w:ind w:left="283"/>
            </w:pPr>
            <w:r>
              <w:rPr>
                <w:sz w:val="20"/>
              </w:rPr>
              <w:t xml:space="preserve">подлежит возврату в федеральный бюджет</w:t>
            </w:r>
          </w:p>
        </w:tc>
        <w:tc>
          <w:tcPr>
            <w:tcW w:w="1134" w:type="dxa"/>
            <w:vAlign w:val="bottom"/>
          </w:tcPr>
          <w:p>
            <w:pPr>
              <w:pStyle w:val="0"/>
              <w:jc w:val="center"/>
            </w:pPr>
            <w:r>
              <w:rPr>
                <w:sz w:val="20"/>
              </w:rPr>
              <w:t xml:space="preserve">081</w:t>
            </w:r>
          </w:p>
        </w:tc>
        <w:tc>
          <w:tcPr>
            <w:tcW w:w="1247" w:type="dxa"/>
          </w:tcPr>
          <w:p>
            <w:pPr>
              <w:pStyle w:val="0"/>
            </w:pPr>
            <w:r>
              <w:rPr>
                <w:sz w:val="20"/>
              </w:rPr>
            </w:r>
          </w:p>
        </w:tc>
      </w:tr>
    </w:tbl>
    <w:p>
      <w:pPr>
        <w:pStyle w:val="0"/>
        <w:jc w:val="both"/>
      </w:pPr>
      <w:r>
        <w:rPr>
          <w:sz w:val="20"/>
        </w:rPr>
      </w:r>
    </w:p>
    <w:p>
      <w:pPr>
        <w:pStyle w:val="1"/>
        <w:jc w:val="both"/>
      </w:pPr>
      <w:r>
        <w:rPr>
          <w:sz w:val="20"/>
        </w:rPr>
        <w:t xml:space="preserve">                                                                       с. 3</w:t>
      </w:r>
    </w:p>
    <w:p>
      <w:pPr>
        <w:pStyle w:val="1"/>
        <w:jc w:val="both"/>
      </w:pPr>
      <w:r>
        <w:rPr>
          <w:sz w:val="20"/>
        </w:rPr>
      </w:r>
    </w:p>
    <w:p>
      <w:pPr>
        <w:pStyle w:val="1"/>
        <w:jc w:val="both"/>
      </w:pPr>
      <w:r>
        <w:rPr>
          <w:sz w:val="20"/>
        </w:rPr>
        <w:t xml:space="preserve">2.  Сведения  о направлении расходов бюджета субъекта Российской Федерации,</w:t>
      </w:r>
    </w:p>
    <w:p>
      <w:pPr>
        <w:pStyle w:val="1"/>
        <w:jc w:val="both"/>
      </w:pPr>
      <w:r>
        <w:rPr>
          <w:sz w:val="20"/>
        </w:rPr>
        <w:t xml:space="preserve">софинансируемых из федерального бюджета</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557"/>
        <w:gridCol w:w="737"/>
        <w:gridCol w:w="624"/>
        <w:gridCol w:w="680"/>
        <w:gridCol w:w="624"/>
        <w:gridCol w:w="1361"/>
        <w:gridCol w:w="1361"/>
        <w:gridCol w:w="682"/>
        <w:gridCol w:w="737"/>
        <w:gridCol w:w="680"/>
        <w:gridCol w:w="680"/>
        <w:gridCol w:w="1191"/>
        <w:gridCol w:w="737"/>
      </w:tblGrid>
      <w:tr>
        <w:tc>
          <w:tcPr>
            <w:gridSpan w:val="4"/>
            <w:tcW w:w="2598" w:type="dxa"/>
            <w:tcBorders>
              <w:left w:val="nil"/>
            </w:tcBorders>
            <w:vMerge w:val="restart"/>
          </w:tcPr>
          <w:p>
            <w:pPr>
              <w:pStyle w:val="0"/>
              <w:jc w:val="center"/>
            </w:pPr>
            <w:r>
              <w:rPr>
                <w:sz w:val="20"/>
              </w:rPr>
              <w:t xml:space="preserve">Код расходов по бюджетной классификации </w:t>
            </w:r>
            <w:hyperlink w:history="0" w:anchor="P1472" w:tooltip="&lt;4&gt; В графах 1 - 4 указывается код по бюджетной классификации расходов бюджетов бюджетной системы Российской Федерации, по которому в бюджете субъекта Российской Федерации предусмотрены бюджетные ассигнования на финансовое обеспечение расходных обязательств субъекта Российской Федерации, в целях софинансирования которых предоставляется Иной межбюджетный трансферт.">
              <w:r>
                <w:rPr>
                  <w:sz w:val="20"/>
                  <w:color w:val="0000ff"/>
                </w:rPr>
                <w:t xml:space="preserve">&lt;4&gt;</w:t>
              </w:r>
            </w:hyperlink>
          </w:p>
        </w:tc>
        <w:tc>
          <w:tcPr>
            <w:tcW w:w="624" w:type="dxa"/>
            <w:vMerge w:val="restart"/>
          </w:tcPr>
          <w:p>
            <w:pPr>
              <w:pStyle w:val="0"/>
              <w:jc w:val="center"/>
            </w:pPr>
            <w:r>
              <w:rPr>
                <w:sz w:val="20"/>
              </w:rPr>
              <w:t xml:space="preserve">Код строки</w:t>
            </w:r>
          </w:p>
        </w:tc>
        <w:tc>
          <w:tcPr>
            <w:tcW w:w="1361" w:type="dxa"/>
            <w:vMerge w:val="restart"/>
          </w:tcPr>
          <w:p>
            <w:pPr>
              <w:pStyle w:val="0"/>
              <w:jc w:val="center"/>
            </w:pPr>
            <w:r>
              <w:rPr>
                <w:sz w:val="20"/>
              </w:rPr>
              <w:t xml:space="preserve">Предусмотрено бюджетных ассигнований в бюджете субъекта Российской Федерации </w:t>
            </w:r>
            <w:hyperlink w:history="0" w:anchor="P1331" w:tooltip="030">
              <w:r>
                <w:rPr>
                  <w:sz w:val="20"/>
                  <w:color w:val="0000ff"/>
                </w:rPr>
                <w:t xml:space="preserve">(стр. 030 разд. 1)</w:t>
              </w:r>
            </w:hyperlink>
          </w:p>
        </w:tc>
        <w:tc>
          <w:tcPr>
            <w:tcW w:w="1361" w:type="dxa"/>
            <w:vMerge w:val="restart"/>
          </w:tcPr>
          <w:p>
            <w:pPr>
              <w:pStyle w:val="0"/>
              <w:jc w:val="center"/>
            </w:pPr>
            <w:r>
              <w:rPr>
                <w:sz w:val="20"/>
              </w:rPr>
              <w:t xml:space="preserve">Кассовые расходы бюджета субъекта Российской Федерации, нарастающим итогом с начала года </w:t>
            </w:r>
            <w:hyperlink w:history="0" w:anchor="P1337" w:tooltip="050">
              <w:r>
                <w:rPr>
                  <w:sz w:val="20"/>
                  <w:color w:val="0000ff"/>
                </w:rPr>
                <w:t xml:space="preserve">(стр. 050 разд. 1)</w:t>
              </w:r>
            </w:hyperlink>
          </w:p>
        </w:tc>
        <w:tc>
          <w:tcPr>
            <w:gridSpan w:val="6"/>
            <w:tcW w:w="4707" w:type="dxa"/>
            <w:tcBorders>
              <w:right w:val="nil"/>
            </w:tcBorders>
          </w:tcPr>
          <w:p>
            <w:pPr>
              <w:pStyle w:val="0"/>
              <w:jc w:val="center"/>
            </w:pPr>
            <w:r>
              <w:rPr>
                <w:sz w:val="20"/>
              </w:rPr>
              <w:t xml:space="preserve">Справочно </w:t>
            </w:r>
            <w:hyperlink w:history="0" w:anchor="P1473" w:tooltip="&lt;5&gt; Заполняется в случае предоставления Иного межбюджетного трансферта для последующего предоставления соответствующего межбюджетного трансферта, имеющего целевое назначение,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на финансовое обеспечение расходных обязательств муниципальных образований, возникающих при выполнении государственных полномочий субъекта Российской Фе...">
              <w:r>
                <w:rPr>
                  <w:sz w:val="20"/>
                  <w:color w:val="0000ff"/>
                </w:rPr>
                <w:t xml:space="preserve">&lt;5&gt;</w:t>
              </w:r>
            </w:hyperlink>
          </w:p>
        </w:tc>
      </w:tr>
      <w:tr>
        <w:tc>
          <w:tcPr>
            <w:gridSpan w:val="4"/>
            <w:tcBorders>
              <w:left w:val="nil"/>
            </w:tcBorders>
            <w:vMerge w:val="continue"/>
          </w:tcPr>
          <w:p/>
        </w:tc>
        <w:tc>
          <w:tcPr>
            <w:vMerge w:val="continue"/>
          </w:tcPr>
          <w:p/>
        </w:tc>
        <w:tc>
          <w:tcPr>
            <w:vMerge w:val="continue"/>
          </w:tcPr>
          <w:p/>
        </w:tc>
        <w:tc>
          <w:tcPr>
            <w:vMerge w:val="continue"/>
          </w:tcPr>
          <w:p/>
        </w:tc>
        <w:tc>
          <w:tcPr>
            <w:gridSpan w:val="4"/>
            <w:tcW w:w="2779" w:type="dxa"/>
          </w:tcPr>
          <w:p>
            <w:pPr>
              <w:pStyle w:val="0"/>
              <w:jc w:val="center"/>
            </w:pPr>
            <w:r>
              <w:rPr>
                <w:sz w:val="20"/>
              </w:rPr>
              <w:t xml:space="preserve">Код расходов по бюджетной классификации</w:t>
            </w:r>
          </w:p>
        </w:tc>
        <w:tc>
          <w:tcPr>
            <w:tcW w:w="1191" w:type="dxa"/>
            <w:vMerge w:val="restart"/>
          </w:tcPr>
          <w:p>
            <w:pPr>
              <w:pStyle w:val="0"/>
              <w:jc w:val="center"/>
            </w:pPr>
            <w:r>
              <w:rPr>
                <w:sz w:val="20"/>
              </w:rPr>
              <w:t xml:space="preserve">предусмотрено бюджетных ассигнований в местных бюджетах</w:t>
            </w:r>
          </w:p>
        </w:tc>
        <w:tc>
          <w:tcPr>
            <w:tcW w:w="737" w:type="dxa"/>
            <w:tcBorders>
              <w:right w:val="nil"/>
            </w:tcBorders>
            <w:vMerge w:val="restart"/>
          </w:tcPr>
          <w:p>
            <w:pPr>
              <w:pStyle w:val="0"/>
              <w:jc w:val="center"/>
            </w:pPr>
            <w:r>
              <w:rPr>
                <w:sz w:val="20"/>
              </w:rPr>
              <w:t xml:space="preserve">кассовые расходы местных бюджетов</w:t>
            </w:r>
          </w:p>
        </w:tc>
      </w:tr>
      <w:tr>
        <w:tc>
          <w:tcPr>
            <w:tcW w:w="557" w:type="dxa"/>
            <w:tcBorders>
              <w:left w:val="nil"/>
            </w:tcBorders>
          </w:tcPr>
          <w:p>
            <w:pPr>
              <w:pStyle w:val="0"/>
              <w:jc w:val="center"/>
            </w:pPr>
            <w:r>
              <w:rPr>
                <w:sz w:val="20"/>
              </w:rPr>
              <w:t xml:space="preserve">главы</w:t>
            </w:r>
          </w:p>
        </w:tc>
        <w:tc>
          <w:tcPr>
            <w:tcW w:w="737" w:type="dxa"/>
          </w:tcPr>
          <w:p>
            <w:pPr>
              <w:pStyle w:val="0"/>
              <w:jc w:val="center"/>
            </w:pPr>
            <w:r>
              <w:rPr>
                <w:sz w:val="20"/>
              </w:rPr>
              <w:t xml:space="preserve">раздела, подраздела</w:t>
            </w:r>
          </w:p>
        </w:tc>
        <w:tc>
          <w:tcPr>
            <w:tcW w:w="624" w:type="dxa"/>
          </w:tcPr>
          <w:p>
            <w:pPr>
              <w:pStyle w:val="0"/>
              <w:jc w:val="center"/>
            </w:pPr>
            <w:r>
              <w:rPr>
                <w:sz w:val="20"/>
              </w:rPr>
              <w:t xml:space="preserve">целевой статьи</w:t>
            </w:r>
          </w:p>
        </w:tc>
        <w:tc>
          <w:tcPr>
            <w:tcW w:w="680" w:type="dxa"/>
          </w:tcPr>
          <w:p>
            <w:pPr>
              <w:pStyle w:val="0"/>
              <w:jc w:val="center"/>
            </w:pPr>
            <w:r>
              <w:rPr>
                <w:sz w:val="20"/>
              </w:rPr>
              <w:t xml:space="preserve">вида расходов</w:t>
            </w:r>
          </w:p>
        </w:tc>
        <w:tc>
          <w:tcPr>
            <w:vMerge w:val="continue"/>
          </w:tcPr>
          <w:p/>
        </w:tc>
        <w:tc>
          <w:tcPr>
            <w:vMerge w:val="continue"/>
          </w:tcPr>
          <w:p/>
        </w:tc>
        <w:tc>
          <w:tcPr>
            <w:vMerge w:val="continue"/>
          </w:tcPr>
          <w:p/>
        </w:tc>
        <w:tc>
          <w:tcPr>
            <w:tcW w:w="682" w:type="dxa"/>
          </w:tcPr>
          <w:p>
            <w:pPr>
              <w:pStyle w:val="0"/>
              <w:jc w:val="center"/>
            </w:pPr>
            <w:r>
              <w:rPr>
                <w:sz w:val="20"/>
              </w:rPr>
              <w:t xml:space="preserve">главы</w:t>
            </w:r>
          </w:p>
        </w:tc>
        <w:tc>
          <w:tcPr>
            <w:tcW w:w="737" w:type="dxa"/>
          </w:tcPr>
          <w:p>
            <w:pPr>
              <w:pStyle w:val="0"/>
              <w:jc w:val="center"/>
            </w:pPr>
            <w:r>
              <w:rPr>
                <w:sz w:val="20"/>
              </w:rPr>
              <w:t xml:space="preserve">раздела, подраздела</w:t>
            </w:r>
          </w:p>
        </w:tc>
        <w:tc>
          <w:tcPr>
            <w:tcW w:w="680" w:type="dxa"/>
          </w:tcPr>
          <w:p>
            <w:pPr>
              <w:pStyle w:val="0"/>
              <w:jc w:val="center"/>
            </w:pPr>
            <w:r>
              <w:rPr>
                <w:sz w:val="20"/>
              </w:rPr>
              <w:t xml:space="preserve">целевой статьи</w:t>
            </w:r>
          </w:p>
        </w:tc>
        <w:tc>
          <w:tcPr>
            <w:tcW w:w="680" w:type="dxa"/>
          </w:tcPr>
          <w:p>
            <w:pPr>
              <w:pStyle w:val="0"/>
              <w:jc w:val="center"/>
            </w:pPr>
            <w:r>
              <w:rPr>
                <w:sz w:val="20"/>
              </w:rPr>
              <w:t xml:space="preserve">вида расходов</w:t>
            </w:r>
          </w:p>
        </w:tc>
        <w:tc>
          <w:tcPr>
            <w:vMerge w:val="continue"/>
          </w:tcPr>
          <w:p/>
        </w:tc>
        <w:tc>
          <w:tcPr>
            <w:tcBorders>
              <w:right w:val="nil"/>
            </w:tcBorders>
            <w:vMerge w:val="continue"/>
          </w:tcPr>
          <w:p/>
        </w:tc>
      </w:tr>
      <w:tr>
        <w:tc>
          <w:tcPr>
            <w:tcW w:w="557" w:type="dxa"/>
            <w:tcBorders>
              <w:left w:val="nil"/>
            </w:tcBorders>
          </w:tcPr>
          <w:bookmarkStart w:id="1407" w:name="P1407"/>
          <w:bookmarkEnd w:id="1407"/>
          <w:p>
            <w:pPr>
              <w:pStyle w:val="0"/>
              <w:jc w:val="center"/>
            </w:pPr>
            <w:r>
              <w:rPr>
                <w:sz w:val="20"/>
              </w:rPr>
              <w:t xml:space="preserve">1</w:t>
            </w:r>
          </w:p>
        </w:tc>
        <w:tc>
          <w:tcPr>
            <w:tcW w:w="737" w:type="dxa"/>
          </w:tcPr>
          <w:p>
            <w:pPr>
              <w:pStyle w:val="0"/>
              <w:jc w:val="center"/>
            </w:pPr>
            <w:r>
              <w:rPr>
                <w:sz w:val="20"/>
              </w:rPr>
              <w:t xml:space="preserve">2</w:t>
            </w:r>
          </w:p>
        </w:tc>
        <w:tc>
          <w:tcPr>
            <w:tcW w:w="624" w:type="dxa"/>
          </w:tcPr>
          <w:p>
            <w:pPr>
              <w:pStyle w:val="0"/>
              <w:jc w:val="center"/>
            </w:pPr>
            <w:r>
              <w:rPr>
                <w:sz w:val="20"/>
              </w:rPr>
              <w:t xml:space="preserve">3</w:t>
            </w:r>
          </w:p>
        </w:tc>
        <w:tc>
          <w:tcPr>
            <w:tcW w:w="680" w:type="dxa"/>
          </w:tcPr>
          <w:bookmarkStart w:id="1410" w:name="P1410"/>
          <w:bookmarkEnd w:id="1410"/>
          <w:p>
            <w:pPr>
              <w:pStyle w:val="0"/>
              <w:jc w:val="center"/>
            </w:pPr>
            <w:r>
              <w:rPr>
                <w:sz w:val="20"/>
              </w:rPr>
              <w:t xml:space="preserve">4</w:t>
            </w:r>
          </w:p>
        </w:tc>
        <w:tc>
          <w:tcPr>
            <w:tcW w:w="624" w:type="dxa"/>
          </w:tcPr>
          <w:p>
            <w:pPr>
              <w:pStyle w:val="0"/>
              <w:jc w:val="center"/>
            </w:pPr>
            <w:r>
              <w:rPr>
                <w:sz w:val="20"/>
              </w:rPr>
              <w:t xml:space="preserve">5</w:t>
            </w:r>
          </w:p>
        </w:tc>
        <w:tc>
          <w:tcPr>
            <w:tcW w:w="1361" w:type="dxa"/>
          </w:tcPr>
          <w:p>
            <w:pPr>
              <w:pStyle w:val="0"/>
              <w:jc w:val="center"/>
            </w:pPr>
            <w:r>
              <w:rPr>
                <w:sz w:val="20"/>
              </w:rPr>
              <w:t xml:space="preserve">6</w:t>
            </w:r>
          </w:p>
        </w:tc>
        <w:tc>
          <w:tcPr>
            <w:tcW w:w="1361" w:type="dxa"/>
          </w:tcPr>
          <w:p>
            <w:pPr>
              <w:pStyle w:val="0"/>
              <w:jc w:val="center"/>
            </w:pPr>
            <w:r>
              <w:rPr>
                <w:sz w:val="20"/>
              </w:rPr>
              <w:t xml:space="preserve">7</w:t>
            </w:r>
          </w:p>
        </w:tc>
        <w:tc>
          <w:tcPr>
            <w:tcW w:w="682" w:type="dxa"/>
          </w:tcPr>
          <w:bookmarkStart w:id="1414" w:name="P1414"/>
          <w:bookmarkEnd w:id="1414"/>
          <w:p>
            <w:pPr>
              <w:pStyle w:val="0"/>
              <w:jc w:val="center"/>
            </w:pPr>
            <w:r>
              <w:rPr>
                <w:sz w:val="20"/>
              </w:rPr>
              <w:t xml:space="preserve">8</w:t>
            </w:r>
          </w:p>
        </w:tc>
        <w:tc>
          <w:tcPr>
            <w:tcW w:w="737" w:type="dxa"/>
          </w:tcPr>
          <w:p>
            <w:pPr>
              <w:pStyle w:val="0"/>
              <w:jc w:val="center"/>
            </w:pPr>
            <w:r>
              <w:rPr>
                <w:sz w:val="20"/>
              </w:rPr>
              <w:t xml:space="preserve">9</w:t>
            </w:r>
          </w:p>
        </w:tc>
        <w:tc>
          <w:tcPr>
            <w:tcW w:w="680" w:type="dxa"/>
          </w:tcPr>
          <w:p>
            <w:pPr>
              <w:pStyle w:val="0"/>
              <w:jc w:val="center"/>
            </w:pPr>
            <w:r>
              <w:rPr>
                <w:sz w:val="20"/>
              </w:rPr>
              <w:t xml:space="preserve">10</w:t>
            </w:r>
          </w:p>
        </w:tc>
        <w:tc>
          <w:tcPr>
            <w:tcW w:w="680" w:type="dxa"/>
          </w:tcPr>
          <w:bookmarkStart w:id="1417" w:name="P1417"/>
          <w:bookmarkEnd w:id="1417"/>
          <w:p>
            <w:pPr>
              <w:pStyle w:val="0"/>
              <w:jc w:val="center"/>
            </w:pPr>
            <w:r>
              <w:rPr>
                <w:sz w:val="20"/>
              </w:rPr>
              <w:t xml:space="preserve">11</w:t>
            </w:r>
          </w:p>
        </w:tc>
        <w:tc>
          <w:tcPr>
            <w:tcW w:w="1191" w:type="dxa"/>
          </w:tcPr>
          <w:p>
            <w:pPr>
              <w:pStyle w:val="0"/>
              <w:jc w:val="center"/>
            </w:pPr>
            <w:r>
              <w:rPr>
                <w:sz w:val="20"/>
              </w:rPr>
              <w:t xml:space="preserve">12</w:t>
            </w:r>
          </w:p>
        </w:tc>
        <w:tc>
          <w:tcPr>
            <w:tcW w:w="737" w:type="dxa"/>
            <w:tcBorders>
              <w:right w:val="nil"/>
            </w:tcBorders>
          </w:tcPr>
          <w:p>
            <w:pPr>
              <w:pStyle w:val="0"/>
              <w:jc w:val="center"/>
            </w:pPr>
            <w:r>
              <w:rPr>
                <w:sz w:val="20"/>
              </w:rPr>
              <w:t xml:space="preserve">13</w:t>
            </w:r>
          </w:p>
        </w:tc>
      </w:tr>
      <w:tr>
        <w:tblPrEx>
          <w:tblBorders>
            <w:left w:val="single" w:sz="4"/>
            <w:right w:val="single" w:sz="4"/>
          </w:tblBorders>
        </w:tblPrEx>
        <w:tc>
          <w:tcPr>
            <w:tcW w:w="557" w:type="dxa"/>
            <w:vMerge w:val="restart"/>
          </w:tcPr>
          <w:p>
            <w:pPr>
              <w:pStyle w:val="0"/>
            </w:pPr>
            <w:r>
              <w:rPr>
                <w:sz w:val="20"/>
              </w:rPr>
            </w:r>
          </w:p>
        </w:tc>
        <w:tc>
          <w:tcPr>
            <w:tcW w:w="737" w:type="dxa"/>
            <w:vMerge w:val="restart"/>
          </w:tcPr>
          <w:p>
            <w:pPr>
              <w:pStyle w:val="0"/>
            </w:pPr>
            <w:r>
              <w:rPr>
                <w:sz w:val="20"/>
              </w:rPr>
            </w:r>
          </w:p>
        </w:tc>
        <w:tc>
          <w:tcPr>
            <w:tcW w:w="624" w:type="dxa"/>
            <w:vMerge w:val="restart"/>
          </w:tcPr>
          <w:p>
            <w:pPr>
              <w:pStyle w:val="0"/>
            </w:pPr>
            <w:r>
              <w:rPr>
                <w:sz w:val="20"/>
              </w:rPr>
            </w:r>
          </w:p>
        </w:tc>
        <w:tc>
          <w:tcPr>
            <w:tcW w:w="680" w:type="dxa"/>
            <w:vMerge w:val="restart"/>
          </w:tcPr>
          <w:p>
            <w:pPr>
              <w:pStyle w:val="0"/>
            </w:pPr>
            <w:r>
              <w:rPr>
                <w:sz w:val="20"/>
              </w:rPr>
            </w:r>
          </w:p>
        </w:tc>
        <w:tc>
          <w:tcPr>
            <w:tcW w:w="624" w:type="dxa"/>
            <w:vMerge w:val="restart"/>
          </w:tcPr>
          <w:p>
            <w:pPr>
              <w:pStyle w:val="0"/>
            </w:pPr>
            <w:r>
              <w:rPr>
                <w:sz w:val="20"/>
              </w:rPr>
            </w:r>
          </w:p>
        </w:tc>
        <w:tc>
          <w:tcPr>
            <w:tcW w:w="1361" w:type="dxa"/>
            <w:vMerge w:val="restart"/>
          </w:tcPr>
          <w:p>
            <w:pPr>
              <w:pStyle w:val="0"/>
            </w:pPr>
            <w:r>
              <w:rPr>
                <w:sz w:val="20"/>
              </w:rPr>
            </w:r>
          </w:p>
        </w:tc>
        <w:tc>
          <w:tcPr>
            <w:tcW w:w="1361" w:type="dxa"/>
            <w:vMerge w:val="restart"/>
          </w:tcPr>
          <w:p>
            <w:pPr>
              <w:pStyle w:val="0"/>
            </w:pPr>
            <w:r>
              <w:rPr>
                <w:sz w:val="20"/>
              </w:rPr>
            </w:r>
          </w:p>
        </w:tc>
        <w:tc>
          <w:tcPr>
            <w:tcW w:w="682" w:type="dxa"/>
          </w:tcPr>
          <w:p>
            <w:pPr>
              <w:pStyle w:val="0"/>
            </w:pPr>
            <w:r>
              <w:rPr>
                <w:sz w:val="20"/>
              </w:rPr>
            </w:r>
          </w:p>
        </w:tc>
        <w:tc>
          <w:tcPr>
            <w:tcW w:w="737"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91" w:type="dxa"/>
          </w:tcPr>
          <w:p>
            <w:pPr>
              <w:pStyle w:val="0"/>
            </w:pPr>
            <w:r>
              <w:rPr>
                <w:sz w:val="20"/>
              </w:rPr>
            </w:r>
          </w:p>
        </w:tc>
        <w:tc>
          <w:tcPr>
            <w:tcW w:w="737" w:type="dxa"/>
          </w:tcPr>
          <w:p>
            <w:pPr>
              <w:pStyle w:val="0"/>
            </w:pPr>
            <w:r>
              <w:rPr>
                <w:sz w:val="20"/>
              </w:rPr>
            </w:r>
          </w:p>
        </w:tc>
      </w:tr>
      <w:tr>
        <w:tblPrEx>
          <w:tblBorders>
            <w:left w:val="single" w:sz="4"/>
            <w:right w:val="single" w:sz="4"/>
          </w:tblBorders>
        </w:tblPrEx>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82" w:type="dxa"/>
          </w:tcPr>
          <w:p>
            <w:pPr>
              <w:pStyle w:val="0"/>
            </w:pPr>
            <w:r>
              <w:rPr>
                <w:sz w:val="20"/>
              </w:rPr>
            </w:r>
          </w:p>
        </w:tc>
        <w:tc>
          <w:tcPr>
            <w:tcW w:w="737"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91" w:type="dxa"/>
          </w:tcPr>
          <w:p>
            <w:pPr>
              <w:pStyle w:val="0"/>
            </w:pPr>
            <w:r>
              <w:rPr>
                <w:sz w:val="20"/>
              </w:rPr>
            </w:r>
          </w:p>
        </w:tc>
        <w:tc>
          <w:tcPr>
            <w:tcW w:w="737" w:type="dxa"/>
          </w:tcPr>
          <w:p>
            <w:pPr>
              <w:pStyle w:val="0"/>
            </w:pPr>
            <w:r>
              <w:rPr>
                <w:sz w:val="20"/>
              </w:rPr>
            </w:r>
          </w:p>
        </w:tc>
      </w:tr>
      <w:tr>
        <w:tblPrEx>
          <w:tblBorders>
            <w:left w:val="single" w:sz="4"/>
            <w:right w:val="single" w:sz="4"/>
          </w:tblBorders>
        </w:tblPrEx>
        <w:tc>
          <w:tcPr>
            <w:tcW w:w="557" w:type="dxa"/>
            <w:vMerge w:val="restart"/>
          </w:tcPr>
          <w:p>
            <w:pPr>
              <w:pStyle w:val="0"/>
            </w:pPr>
            <w:r>
              <w:rPr>
                <w:sz w:val="20"/>
              </w:rPr>
            </w:r>
          </w:p>
        </w:tc>
        <w:tc>
          <w:tcPr>
            <w:tcW w:w="737" w:type="dxa"/>
            <w:vMerge w:val="restart"/>
          </w:tcPr>
          <w:p>
            <w:pPr>
              <w:pStyle w:val="0"/>
            </w:pPr>
            <w:r>
              <w:rPr>
                <w:sz w:val="20"/>
              </w:rPr>
            </w:r>
          </w:p>
        </w:tc>
        <w:tc>
          <w:tcPr>
            <w:tcW w:w="624" w:type="dxa"/>
            <w:vMerge w:val="restart"/>
          </w:tcPr>
          <w:p>
            <w:pPr>
              <w:pStyle w:val="0"/>
            </w:pPr>
            <w:r>
              <w:rPr>
                <w:sz w:val="20"/>
              </w:rPr>
            </w:r>
          </w:p>
        </w:tc>
        <w:tc>
          <w:tcPr>
            <w:tcW w:w="680" w:type="dxa"/>
            <w:vMerge w:val="restart"/>
          </w:tcPr>
          <w:p>
            <w:pPr>
              <w:pStyle w:val="0"/>
            </w:pPr>
            <w:r>
              <w:rPr>
                <w:sz w:val="20"/>
              </w:rPr>
            </w:r>
          </w:p>
        </w:tc>
        <w:tc>
          <w:tcPr>
            <w:tcW w:w="624" w:type="dxa"/>
            <w:vMerge w:val="restart"/>
          </w:tcPr>
          <w:p>
            <w:pPr>
              <w:pStyle w:val="0"/>
            </w:pPr>
            <w:r>
              <w:rPr>
                <w:sz w:val="20"/>
              </w:rPr>
            </w:r>
          </w:p>
        </w:tc>
        <w:tc>
          <w:tcPr>
            <w:tcW w:w="1361" w:type="dxa"/>
            <w:vMerge w:val="restart"/>
          </w:tcPr>
          <w:p>
            <w:pPr>
              <w:pStyle w:val="0"/>
            </w:pPr>
            <w:r>
              <w:rPr>
                <w:sz w:val="20"/>
              </w:rPr>
            </w:r>
          </w:p>
        </w:tc>
        <w:tc>
          <w:tcPr>
            <w:tcW w:w="1361" w:type="dxa"/>
            <w:vMerge w:val="restart"/>
          </w:tcPr>
          <w:p>
            <w:pPr>
              <w:pStyle w:val="0"/>
            </w:pPr>
            <w:r>
              <w:rPr>
                <w:sz w:val="20"/>
              </w:rPr>
            </w:r>
          </w:p>
        </w:tc>
        <w:tc>
          <w:tcPr>
            <w:tcW w:w="682" w:type="dxa"/>
          </w:tcPr>
          <w:p>
            <w:pPr>
              <w:pStyle w:val="0"/>
            </w:pPr>
            <w:r>
              <w:rPr>
                <w:sz w:val="20"/>
              </w:rPr>
            </w:r>
          </w:p>
        </w:tc>
        <w:tc>
          <w:tcPr>
            <w:tcW w:w="737"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91" w:type="dxa"/>
          </w:tcPr>
          <w:p>
            <w:pPr>
              <w:pStyle w:val="0"/>
            </w:pPr>
            <w:r>
              <w:rPr>
                <w:sz w:val="20"/>
              </w:rPr>
            </w:r>
          </w:p>
        </w:tc>
        <w:tc>
          <w:tcPr>
            <w:tcW w:w="737" w:type="dxa"/>
          </w:tcPr>
          <w:p>
            <w:pPr>
              <w:pStyle w:val="0"/>
            </w:pPr>
            <w:r>
              <w:rPr>
                <w:sz w:val="20"/>
              </w:rPr>
            </w:r>
          </w:p>
        </w:tc>
      </w:tr>
      <w:tr>
        <w:tblPrEx>
          <w:tblBorders>
            <w:left w:val="single" w:sz="4"/>
            <w:right w:val="single" w:sz="4"/>
          </w:tblBorders>
        </w:tblPrEx>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82" w:type="dxa"/>
          </w:tcPr>
          <w:p>
            <w:pPr>
              <w:pStyle w:val="0"/>
            </w:pPr>
            <w:r>
              <w:rPr>
                <w:sz w:val="20"/>
              </w:rPr>
            </w:r>
          </w:p>
        </w:tc>
        <w:tc>
          <w:tcPr>
            <w:tcW w:w="737"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91" w:type="dxa"/>
          </w:tcPr>
          <w:p>
            <w:pPr>
              <w:pStyle w:val="0"/>
            </w:pPr>
            <w:r>
              <w:rPr>
                <w:sz w:val="20"/>
              </w:rPr>
            </w:r>
          </w:p>
        </w:tc>
        <w:tc>
          <w:tcPr>
            <w:tcW w:w="737" w:type="dxa"/>
          </w:tcPr>
          <w:p>
            <w:pPr>
              <w:pStyle w:val="0"/>
            </w:pPr>
            <w:r>
              <w:rPr>
                <w:sz w:val="20"/>
              </w:rPr>
            </w:r>
          </w:p>
        </w:tc>
      </w:tr>
    </w:tbl>
    <w:p>
      <w:pPr>
        <w:sectPr>
          <w:headerReference w:type="default" r:id="rId45"/>
          <w:headerReference w:type="first" r:id="rId45"/>
          <w:footerReference w:type="default" r:id="rId46"/>
          <w:footerReference w:type="first" r:id="rId46"/>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Руководитель            _____________ ___________ _________________________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Исполнитель _____________ ___________________ ________________________</w:t>
      </w:r>
    </w:p>
    <w:p>
      <w:pPr>
        <w:pStyle w:val="1"/>
        <w:jc w:val="both"/>
      </w:pPr>
      <w:r>
        <w:rPr>
          <w:sz w:val="20"/>
        </w:rPr>
        <w:t xml:space="preserve">             (должность)  (инициалы, фамилия) (телефон с кодом города)</w:t>
      </w:r>
    </w:p>
    <w:p>
      <w:pPr>
        <w:pStyle w:val="1"/>
        <w:jc w:val="both"/>
      </w:pPr>
      <w:r>
        <w:rPr>
          <w:sz w:val="20"/>
        </w:rPr>
      </w:r>
    </w:p>
    <w:p>
      <w:pPr>
        <w:pStyle w:val="1"/>
        <w:jc w:val="both"/>
      </w:pPr>
      <w:r>
        <w:rPr>
          <w:sz w:val="20"/>
        </w:rPr>
        <w:t xml:space="preserve">"__" _________ 20__ г.</w:t>
      </w:r>
    </w:p>
    <w:p>
      <w:pPr>
        <w:pStyle w:val="0"/>
        <w:jc w:val="both"/>
      </w:pPr>
      <w:r>
        <w:rPr>
          <w:sz w:val="20"/>
        </w:rPr>
      </w:r>
    </w:p>
    <w:p>
      <w:pPr>
        <w:pStyle w:val="0"/>
        <w:ind w:firstLine="540"/>
        <w:jc w:val="both"/>
      </w:pPr>
      <w:r>
        <w:rPr>
          <w:sz w:val="20"/>
        </w:rPr>
        <w:t xml:space="preserve">--------------------------------</w:t>
      </w:r>
    </w:p>
    <w:bookmarkStart w:id="1468" w:name="P1468"/>
    <w:bookmarkEnd w:id="1468"/>
    <w:p>
      <w:pPr>
        <w:pStyle w:val="0"/>
        <w:spacing w:before="200" w:lineRule="auto"/>
        <w:ind w:firstLine="540"/>
        <w:jc w:val="both"/>
      </w:pPr>
      <w:r>
        <w:rPr>
          <w:sz w:val="20"/>
        </w:rPr>
        <w:t xml:space="preserve">&lt;1&gt; Указывается орган исполнительной власти субъекта Российской Федерации, определенный в </w:t>
      </w:r>
      <w:hyperlink w:history="0" w:anchor="P424" w:tooltip="    6.1.1.    Уполномоченным   органом  исполнительной    власти  Субъекта,">
        <w:r>
          <w:rPr>
            <w:sz w:val="20"/>
            <w:color w:val="0000ff"/>
          </w:rPr>
          <w:t xml:space="preserve">пункте 6.1.1</w:t>
        </w:r>
      </w:hyperlink>
      <w:r>
        <w:rPr>
          <w:sz w:val="20"/>
        </w:rPr>
        <w:t xml:space="preserve"> соглашения.</w:t>
      </w:r>
    </w:p>
    <w:bookmarkStart w:id="1469" w:name="P1469"/>
    <w:bookmarkEnd w:id="1469"/>
    <w:p>
      <w:pPr>
        <w:pStyle w:val="0"/>
        <w:spacing w:before="200" w:lineRule="auto"/>
        <w:ind w:firstLine="540"/>
        <w:jc w:val="both"/>
      </w:pPr>
      <w:r>
        <w:rPr>
          <w:sz w:val="20"/>
        </w:rPr>
        <w:t xml:space="preserve">&lt;2&gt; Указывается наименование федерального проекта. В кодовой </w:t>
      </w:r>
      <w:hyperlink w:history="0" w:anchor="P1287" w:tooltip="по БК &lt;2&gt;">
        <w:r>
          <w:rPr>
            <w:sz w:val="20"/>
            <w:color w:val="0000ff"/>
          </w:rPr>
          <w:t xml:space="preserve">зоне</w:t>
        </w:r>
      </w:hyperlink>
      <w:r>
        <w:rPr>
          <w:sz w:val="20"/>
        </w:rPr>
        <w:t xml:space="preserve"> указываются 1 - 5 разряды кода целевой статьи расходов федерального бюджета.</w:t>
      </w:r>
    </w:p>
    <w:bookmarkStart w:id="1470" w:name="P1470"/>
    <w:bookmarkEnd w:id="1470"/>
    <w:p>
      <w:pPr>
        <w:pStyle w:val="0"/>
        <w:spacing w:before="200" w:lineRule="auto"/>
        <w:ind w:firstLine="540"/>
        <w:jc w:val="both"/>
      </w:pPr>
      <w:r>
        <w:rPr>
          <w:sz w:val="20"/>
        </w:rPr>
        <w:t xml:space="preserve">&lt;2.1&gt; Указывается наименование регионального проекта в случае предоставления Иного межбюджетного трансферта в целях софинансирования расходных обязательств субъекта Российской Федерации, возникающих при реализации регионального проекта, обеспечивающего достижение целей, показателей и мероприятий (результатов) федерального проекта, входящего в состав соответствующего национального проекта. В кодовой </w:t>
      </w:r>
      <w:hyperlink w:history="0" w:anchor="P1291" w:tooltip="по БК &lt;2.1&gt;">
        <w:r>
          <w:rPr>
            <w:sz w:val="20"/>
            <w:color w:val="0000ff"/>
          </w:rPr>
          <w:t xml:space="preserve">зоне</w:t>
        </w:r>
      </w:hyperlink>
      <w:r>
        <w:rPr>
          <w:sz w:val="20"/>
        </w:rPr>
        <w:t xml:space="preserve"> указываются 4 и 5 разряды кодов целевых статей расходов бюджета субъекта Российской Федерации.</w:t>
      </w:r>
    </w:p>
    <w:bookmarkStart w:id="1471" w:name="P1471"/>
    <w:bookmarkEnd w:id="1471"/>
    <w:p>
      <w:pPr>
        <w:pStyle w:val="0"/>
        <w:spacing w:before="200" w:lineRule="auto"/>
        <w:ind w:firstLine="540"/>
        <w:jc w:val="both"/>
      </w:pPr>
      <w:r>
        <w:rPr>
          <w:sz w:val="20"/>
        </w:rPr>
        <w:t xml:space="preserve">&lt;3&gt; При представлении уточненного отчета указывается номер корректировки (например, "1", "2", "3", "...").</w:t>
      </w:r>
    </w:p>
    <w:bookmarkStart w:id="1472" w:name="P1472"/>
    <w:bookmarkEnd w:id="1472"/>
    <w:p>
      <w:pPr>
        <w:pStyle w:val="0"/>
        <w:spacing w:before="200" w:lineRule="auto"/>
        <w:ind w:firstLine="540"/>
        <w:jc w:val="both"/>
      </w:pPr>
      <w:r>
        <w:rPr>
          <w:sz w:val="20"/>
        </w:rPr>
        <w:t xml:space="preserve">&lt;4&gt; В </w:t>
      </w:r>
      <w:hyperlink w:history="0" w:anchor="P1407" w:tooltip="1">
        <w:r>
          <w:rPr>
            <w:sz w:val="20"/>
            <w:color w:val="0000ff"/>
          </w:rPr>
          <w:t xml:space="preserve">графах 1</w:t>
        </w:r>
      </w:hyperlink>
      <w:r>
        <w:rPr>
          <w:sz w:val="20"/>
        </w:rPr>
        <w:t xml:space="preserve"> - </w:t>
      </w:r>
      <w:hyperlink w:history="0" w:anchor="P1410" w:tooltip="4">
        <w:r>
          <w:rPr>
            <w:sz w:val="20"/>
            <w:color w:val="0000ff"/>
          </w:rPr>
          <w:t xml:space="preserve">4</w:t>
        </w:r>
      </w:hyperlink>
      <w:r>
        <w:rPr>
          <w:sz w:val="20"/>
        </w:rPr>
        <w:t xml:space="preserve"> указывается код по бюджетной классификации расходов бюджетов бюджетной системы Российской Федерации, по которому в бюджете субъекта Российской Федерации предусмотрены бюджетные ассигнования на финансовое обеспечение расходных обязательств субъекта Российской Федерации, в целях софинансирования которых предоставляется Иной межбюджетный трансферт.</w:t>
      </w:r>
    </w:p>
    <w:bookmarkStart w:id="1473" w:name="P1473"/>
    <w:bookmarkEnd w:id="1473"/>
    <w:p>
      <w:pPr>
        <w:pStyle w:val="0"/>
        <w:spacing w:before="200" w:lineRule="auto"/>
        <w:ind w:firstLine="540"/>
        <w:jc w:val="both"/>
      </w:pPr>
      <w:r>
        <w:rPr>
          <w:sz w:val="20"/>
        </w:rPr>
        <w:t xml:space="preserve">&lt;5&gt; Заполняется в случае предоставления Иного межбюджетного трансферта для последующего предоставления соответствующего межбюджетного трансферта, имеющего целевое назначение,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(на финансовое обеспечение расходных обязательств муниципальных образований, возникающих при выполнении государственных полномочий субъекта Российской Федерации, переданных для осуществления органам местного самоуправления). В </w:t>
      </w:r>
      <w:hyperlink w:history="0" w:anchor="P1414" w:tooltip="8">
        <w:r>
          <w:rPr>
            <w:sz w:val="20"/>
            <w:color w:val="0000ff"/>
          </w:rPr>
          <w:t xml:space="preserve">графах 8</w:t>
        </w:r>
      </w:hyperlink>
      <w:r>
        <w:rPr>
          <w:sz w:val="20"/>
        </w:rPr>
        <w:t xml:space="preserve"> - </w:t>
      </w:r>
      <w:hyperlink w:history="0" w:anchor="P1417" w:tooltip="11">
        <w:r>
          <w:rPr>
            <w:sz w:val="20"/>
            <w:color w:val="0000ff"/>
          </w:rPr>
          <w:t xml:space="preserve">11</w:t>
        </w:r>
      </w:hyperlink>
      <w:r>
        <w:rPr>
          <w:sz w:val="20"/>
        </w:rPr>
        <w:t xml:space="preserve"> указывается код по бюджетной классификации расходов бюджетов бюджетной системы Российской Федерации, по которому в местном бюджете предусмотрены бюджетные ассигнования на финансовое обеспечение расходных обязательств муниципального образования, в целях софинансирования которых предоставляется Иной межбюджетный трансферт из федерального бюджета бюджету субъекта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Типовой форме соглашения</w:t>
      </w:r>
    </w:p>
    <w:p>
      <w:pPr>
        <w:pStyle w:val="0"/>
        <w:jc w:val="right"/>
      </w:pPr>
      <w:r>
        <w:rPr>
          <w:sz w:val="20"/>
        </w:rPr>
        <w:t xml:space="preserve">о предоставлении иного</w:t>
      </w:r>
    </w:p>
    <w:p>
      <w:pPr>
        <w:pStyle w:val="0"/>
        <w:jc w:val="right"/>
      </w:pPr>
      <w:r>
        <w:rPr>
          <w:sz w:val="20"/>
        </w:rPr>
        <w:t xml:space="preserve">межбюджетного трансферта,</w:t>
      </w:r>
    </w:p>
    <w:p>
      <w:pPr>
        <w:pStyle w:val="0"/>
        <w:jc w:val="right"/>
      </w:pPr>
      <w:r>
        <w:rPr>
          <w:sz w:val="20"/>
        </w:rPr>
        <w:t xml:space="preserve">имеющего целевое назначение,</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Минфина России от 08.10.2019 </w:t>
            </w:r>
            <w:hyperlink w:history="0" r:id="rId67" w:tooltip="Приказ Минфина России от 08.10.2019 N 161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22.11.2019 N 56610) {КонсультантПлюс}">
              <w:r>
                <w:rPr>
                  <w:sz w:val="20"/>
                  <w:color w:val="0000ff"/>
                </w:rPr>
                <w:t xml:space="preserve">N 161н</w:t>
              </w:r>
            </w:hyperlink>
            <w:r>
              <w:rPr>
                <w:sz w:val="20"/>
                <w:color w:val="392c69"/>
              </w:rPr>
              <w:t xml:space="preserve">,</w:t>
            </w:r>
          </w:p>
          <w:p>
            <w:pPr>
              <w:pStyle w:val="0"/>
              <w:jc w:val="center"/>
            </w:pPr>
            <w:r>
              <w:rPr>
                <w:sz w:val="20"/>
                <w:color w:val="392c69"/>
              </w:rPr>
              <w:t xml:space="preserve">от 09.12.2020 </w:t>
            </w:r>
            <w:hyperlink w:history="0" r:id="rId68" w:tooltip="Приказ Минфина России от 09.12.2020 N 300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9.02.2021 N 62573) {КонсультантПлюс}">
              <w:r>
                <w:rPr>
                  <w:sz w:val="20"/>
                  <w:color w:val="0000ff"/>
                </w:rPr>
                <w:t xml:space="preserve">N 300н</w:t>
              </w:r>
            </w:hyperlink>
            <w:r>
              <w:rPr>
                <w:sz w:val="20"/>
                <w:color w:val="392c69"/>
              </w:rPr>
              <w:t xml:space="preserve">, от 31.03.2021 </w:t>
            </w:r>
            <w:hyperlink w:history="0" r:id="rId69" w:tooltip="Приказ Минфина России от 31.03.2021 N 52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КонсультантПлюс}">
              <w:r>
                <w:rPr>
                  <w:sz w:val="20"/>
                  <w:color w:val="0000ff"/>
                </w:rPr>
                <w:t xml:space="preserve">N 52н</w:t>
              </w:r>
            </w:hyperlink>
            <w:r>
              <w:rPr>
                <w:sz w:val="20"/>
                <w:color w:val="392c69"/>
              </w:rPr>
              <w:t xml:space="preserve">, от 24.12.2021 </w:t>
            </w:r>
            <w:hyperlink w:history="0" r:id="rId70" w:tooltip="Приказ Минфина России от 24.12.2021 N 228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и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 {КонсультантПлюс}">
              <w:r>
                <w:rPr>
                  <w:sz w:val="20"/>
                  <w:color w:val="0000ff"/>
                </w:rPr>
                <w:t xml:space="preserve">N 228н</w:t>
              </w:r>
            </w:hyperlink>
            <w:r>
              <w:rPr>
                <w:sz w:val="20"/>
                <w:color w:val="392c69"/>
              </w:rPr>
              <w:t xml:space="preserve">,</w:t>
            </w:r>
          </w:p>
          <w:p>
            <w:pPr>
              <w:pStyle w:val="0"/>
              <w:jc w:val="center"/>
            </w:pPr>
            <w:r>
              <w:rPr>
                <w:sz w:val="20"/>
                <w:color w:val="392c69"/>
              </w:rPr>
              <w:t xml:space="preserve">от 30.06.2022 </w:t>
            </w:r>
            <w:hyperlink w:history="0" r:id="rId71" w:tooltip="Приказ Минфина России от 30.06.2022 N 103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6.09.2022 N 70116) {КонсультантПлюс}">
              <w:r>
                <w:rPr>
                  <w:sz w:val="20"/>
                  <w:color w:val="0000ff"/>
                </w:rPr>
                <w:t xml:space="preserve">N 103н</w:t>
              </w:r>
            </w:hyperlink>
            <w:r>
              <w:rPr>
                <w:sz w:val="20"/>
                <w:color w:val="392c69"/>
              </w:rPr>
              <w:t xml:space="preserve">, от 14.08.2023 </w:t>
            </w:r>
            <w:hyperlink w:history="0" r:id="rId72" w:tooltip="Приказ Минфина России от 14.08.2023 N 133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5.09.2023 N 75245) {КонсультантПлюс}">
              <w:r>
                <w:rPr>
                  <w:sz w:val="20"/>
                  <w:color w:val="0000ff"/>
                </w:rPr>
                <w:t xml:space="preserve">N 133н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jc w:val="right"/>
      </w:pPr>
      <w:r>
        <w:rPr>
          <w:sz w:val="20"/>
        </w:rPr>
        <w:t xml:space="preserve">"Приложение N ___</w:t>
      </w:r>
    </w:p>
    <w:p>
      <w:pPr>
        <w:pStyle w:val="0"/>
        <w:jc w:val="right"/>
      </w:pPr>
      <w:r>
        <w:rPr>
          <w:sz w:val="20"/>
        </w:rPr>
        <w:t xml:space="preserve">к Соглашению</w:t>
      </w:r>
    </w:p>
    <w:p>
      <w:pPr>
        <w:pStyle w:val="0"/>
        <w:jc w:val="right"/>
      </w:pPr>
      <w:r>
        <w:rPr>
          <w:sz w:val="20"/>
        </w:rPr>
        <w:t xml:space="preserve">от "__" ________ 20__ г. N ___</w:t>
      </w:r>
    </w:p>
    <w:p>
      <w:pPr>
        <w:pStyle w:val="0"/>
        <w:jc w:val="right"/>
      </w:pPr>
      <w:r>
        <w:rPr>
          <w:sz w:val="20"/>
        </w:rPr>
        <w:t xml:space="preserve">(Приложение N ___</w:t>
      </w:r>
    </w:p>
    <w:p>
      <w:pPr>
        <w:pStyle w:val="0"/>
        <w:jc w:val="right"/>
      </w:pPr>
      <w:r>
        <w:rPr>
          <w:sz w:val="20"/>
        </w:rPr>
        <w:t xml:space="preserve">к Дополнительному соглашению</w:t>
      </w:r>
    </w:p>
    <w:p>
      <w:pPr>
        <w:pStyle w:val="0"/>
        <w:jc w:val="right"/>
      </w:pPr>
      <w:r>
        <w:rPr>
          <w:sz w:val="20"/>
        </w:rPr>
        <w:t xml:space="preserve">от "__" _______ 20__ г. N ___)</w:t>
      </w:r>
    </w:p>
    <w:p>
      <w:pPr>
        <w:pStyle w:val="0"/>
        <w:jc w:val="both"/>
      </w:pPr>
      <w:r>
        <w:rPr>
          <w:sz w:val="20"/>
        </w:rPr>
      </w:r>
    </w:p>
    <w:bookmarkStart w:id="1502" w:name="P1502"/>
    <w:bookmarkEnd w:id="1502"/>
    <w:p>
      <w:pPr>
        <w:pStyle w:val="1"/>
        <w:jc w:val="both"/>
      </w:pPr>
      <w:r>
        <w:rPr>
          <w:sz w:val="20"/>
        </w:rPr>
        <w:t xml:space="preserve">                                   Отчет</w:t>
      </w:r>
    </w:p>
    <w:p>
      <w:pPr>
        <w:pStyle w:val="1"/>
        <w:jc w:val="both"/>
      </w:pPr>
      <w:r>
        <w:rPr>
          <w:sz w:val="20"/>
        </w:rPr>
        <w:t xml:space="preserve">             о достижении значений результатов предоставления</w:t>
      </w:r>
    </w:p>
    <w:p>
      <w:pPr>
        <w:pStyle w:val="1"/>
        <w:jc w:val="both"/>
      </w:pPr>
      <w:r>
        <w:rPr>
          <w:sz w:val="20"/>
        </w:rPr>
        <w:t xml:space="preserve">             Иного межбюджетного трансферта и обязательствах,</w:t>
      </w:r>
    </w:p>
    <w:p>
      <w:pPr>
        <w:pStyle w:val="1"/>
        <w:jc w:val="both"/>
      </w:pPr>
      <w:r>
        <w:rPr>
          <w:sz w:val="20"/>
        </w:rPr>
        <w:t xml:space="preserve">                      принятых в целях их достижения</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3628"/>
        <w:gridCol w:w="3288"/>
        <w:gridCol w:w="1303"/>
        <w:gridCol w:w="850"/>
      </w:tblGrid>
      <w:tr>
        <w:tc>
          <w:tcPr>
            <w:gridSpan w:val="2"/>
            <w:tcW w:w="6916" w:type="dxa"/>
            <w:tcBorders>
              <w:top w:val="nil"/>
              <w:left w:val="nil"/>
              <w:bottom w:val="nil"/>
              <w:right w:val="nil"/>
            </w:tcBorders>
          </w:tcPr>
          <w:p>
            <w:pPr>
              <w:pStyle w:val="0"/>
            </w:pPr>
            <w:r>
              <w:rPr>
                <w:sz w:val="20"/>
              </w:rPr>
            </w:r>
          </w:p>
        </w:tc>
        <w:tc>
          <w:tcPr>
            <w:tcW w:w="1303" w:type="dxa"/>
            <w:vAlign w:val="bottom"/>
            <w:tcBorders>
              <w:top w:val="nil"/>
              <w:left w:val="nil"/>
              <w:bottom w:val="nil"/>
              <w:right w:val="single" w:sz="4"/>
            </w:tcBorders>
          </w:tcPr>
          <w:p>
            <w:pPr>
              <w:pStyle w:val="0"/>
            </w:pPr>
            <w:r>
              <w:rPr>
                <w:sz w:val="20"/>
              </w:rPr>
            </w:r>
          </w:p>
        </w:tc>
        <w:tc>
          <w:tcPr>
            <w:tcW w:w="850" w:type="dxa"/>
            <w:tcBorders>
              <w:top w:val="single" w:sz="4"/>
              <w:left w:val="single" w:sz="4"/>
              <w:bottom w:val="single" w:sz="4"/>
              <w:right w:val="single" w:sz="4"/>
            </w:tcBorders>
          </w:tcPr>
          <w:p>
            <w:pPr>
              <w:pStyle w:val="0"/>
              <w:jc w:val="center"/>
            </w:pPr>
            <w:r>
              <w:rPr>
                <w:sz w:val="20"/>
              </w:rPr>
              <w:t xml:space="preserve">КОДЫ</w:t>
            </w:r>
          </w:p>
        </w:tc>
      </w:tr>
      <w:tr>
        <w:tc>
          <w:tcPr>
            <w:tcW w:w="3628" w:type="dxa"/>
            <w:tcBorders>
              <w:top w:val="nil"/>
              <w:left w:val="nil"/>
              <w:bottom w:val="nil"/>
              <w:right w:val="nil"/>
            </w:tcBorders>
          </w:tcPr>
          <w:p>
            <w:pPr>
              <w:pStyle w:val="0"/>
            </w:pPr>
            <w:r>
              <w:rPr>
                <w:sz w:val="20"/>
              </w:rPr>
            </w:r>
          </w:p>
        </w:tc>
        <w:tc>
          <w:tcPr>
            <w:tcW w:w="3288" w:type="dxa"/>
            <w:tcBorders>
              <w:top w:val="nil"/>
              <w:left w:val="nil"/>
              <w:bottom w:val="nil"/>
              <w:right w:val="nil"/>
            </w:tcBorders>
          </w:tcPr>
          <w:p>
            <w:pPr>
              <w:pStyle w:val="0"/>
              <w:jc w:val="center"/>
            </w:pPr>
            <w:r>
              <w:rPr>
                <w:sz w:val="20"/>
              </w:rPr>
              <w:t xml:space="preserve">на 1 __________ 20__ г.</w:t>
            </w:r>
          </w:p>
        </w:tc>
        <w:tc>
          <w:tcPr>
            <w:tcW w:w="1303" w:type="dxa"/>
            <w:vAlign w:val="bottom"/>
            <w:tcBorders>
              <w:top w:val="nil"/>
              <w:left w:val="nil"/>
              <w:bottom w:val="nil"/>
              <w:right w:val="single" w:sz="4"/>
            </w:tcBorders>
          </w:tcPr>
          <w:p>
            <w:pPr>
              <w:pStyle w:val="0"/>
              <w:jc w:val="right"/>
            </w:pPr>
            <w:r>
              <w:rPr>
                <w:sz w:val="20"/>
              </w:rPr>
              <w:t xml:space="preserve">Дата</w:t>
            </w:r>
          </w:p>
        </w:tc>
        <w:tc>
          <w:tcPr>
            <w:tcW w:w="850" w:type="dxa"/>
            <w:tcBorders>
              <w:top w:val="single" w:sz="4"/>
              <w:left w:val="single" w:sz="4"/>
              <w:bottom w:val="single" w:sz="4"/>
              <w:right w:val="single" w:sz="4"/>
            </w:tcBorders>
          </w:tcPr>
          <w:p>
            <w:pPr>
              <w:pStyle w:val="0"/>
            </w:pPr>
            <w:r>
              <w:rPr>
                <w:sz w:val="20"/>
              </w:rPr>
            </w:r>
          </w:p>
        </w:tc>
      </w:tr>
      <w:tr>
        <w:tc>
          <w:tcPr>
            <w:tcW w:w="3628" w:type="dxa"/>
            <w:tcBorders>
              <w:top w:val="nil"/>
              <w:left w:val="nil"/>
              <w:bottom w:val="nil"/>
              <w:right w:val="nil"/>
            </w:tcBorders>
          </w:tcPr>
          <w:p>
            <w:pPr>
              <w:pStyle w:val="0"/>
            </w:pPr>
            <w:r>
              <w:rPr>
                <w:sz w:val="20"/>
              </w:rPr>
              <w:t xml:space="preserve">Наименование уполномоченного органа исполнительной власти субъекта Российской Федерации </w:t>
            </w:r>
            <w:hyperlink w:history="0" w:anchor="P2252" w:tooltip="&lt;1&gt; Указывается орган исполнительной власти субъекта Российской Федерации, определенный в пункте 6.1.1 соглашения.">
              <w:r>
                <w:rPr>
                  <w:sz w:val="20"/>
                  <w:color w:val="0000ff"/>
                </w:rPr>
                <w:t xml:space="preserve">&lt;1&gt;</w:t>
              </w:r>
            </w:hyperlink>
          </w:p>
        </w:tc>
        <w:tc>
          <w:tcPr>
            <w:tcW w:w="3288" w:type="dxa"/>
            <w:tcBorders>
              <w:top w:val="nil"/>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tcBorders>
              <w:top w:val="single" w:sz="4"/>
              <w:left w:val="single" w:sz="4"/>
              <w:bottom w:val="single" w:sz="4"/>
              <w:right w:val="single" w:sz="4"/>
            </w:tcBorders>
          </w:tcPr>
          <w:p>
            <w:pPr>
              <w:pStyle w:val="0"/>
            </w:pPr>
            <w:r>
              <w:rPr>
                <w:sz w:val="20"/>
              </w:rPr>
            </w:r>
          </w:p>
        </w:tc>
      </w:tr>
      <w:tr>
        <w:tc>
          <w:tcPr>
            <w:tcW w:w="3628" w:type="dxa"/>
            <w:tcBorders>
              <w:top w:val="nil"/>
              <w:left w:val="nil"/>
              <w:bottom w:val="nil"/>
              <w:right w:val="nil"/>
            </w:tcBorders>
          </w:tcPr>
          <w:p>
            <w:pPr>
              <w:pStyle w:val="0"/>
            </w:pPr>
            <w:r>
              <w:rPr>
                <w:sz w:val="20"/>
              </w:rPr>
              <w:t xml:space="preserve">Наименование субъекта Российской Федерации</w:t>
            </w:r>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jc w:val="right"/>
            </w:pPr>
            <w:r>
              <w:rPr>
                <w:sz w:val="20"/>
              </w:rPr>
              <w:t xml:space="preserve">по </w:t>
            </w:r>
            <w:hyperlink w:history="0" r:id="rId7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19/2025) {КонсультантПлюс}">
              <w:r>
                <w:rPr>
                  <w:sz w:val="20"/>
                  <w:color w:val="0000ff"/>
                </w:rPr>
                <w:t xml:space="preserve">ОКТМО</w:t>
              </w:r>
            </w:hyperlink>
          </w:p>
        </w:tc>
        <w:tc>
          <w:tcPr>
            <w:tcW w:w="850" w:type="dxa"/>
            <w:tcBorders>
              <w:top w:val="single" w:sz="4"/>
              <w:left w:val="single" w:sz="4"/>
              <w:bottom w:val="single" w:sz="4"/>
              <w:right w:val="single" w:sz="4"/>
            </w:tcBorders>
          </w:tcPr>
          <w:p>
            <w:pPr>
              <w:pStyle w:val="0"/>
            </w:pPr>
            <w:r>
              <w:rPr>
                <w:sz w:val="20"/>
              </w:rPr>
            </w:r>
          </w:p>
        </w:tc>
      </w:tr>
      <w:tr>
        <w:tc>
          <w:tcPr>
            <w:tcW w:w="3628" w:type="dxa"/>
            <w:tcBorders>
              <w:top w:val="nil"/>
              <w:left w:val="nil"/>
              <w:bottom w:val="nil"/>
              <w:right w:val="nil"/>
            </w:tcBorders>
          </w:tcPr>
          <w:p>
            <w:pPr>
              <w:pStyle w:val="0"/>
            </w:pPr>
            <w:r>
              <w:rPr>
                <w:sz w:val="20"/>
              </w:rPr>
              <w:t xml:space="preserve">Наименование главного распорядителя средств федерального бюджета</w:t>
            </w:r>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jc w:val="right"/>
            </w:pPr>
            <w:r>
              <w:rPr>
                <w:sz w:val="20"/>
              </w:rPr>
              <w:t xml:space="preserve">по Сводному реестру</w:t>
            </w:r>
          </w:p>
        </w:tc>
        <w:tc>
          <w:tcPr>
            <w:tcW w:w="850" w:type="dxa"/>
            <w:tcBorders>
              <w:top w:val="single" w:sz="4"/>
              <w:left w:val="single" w:sz="4"/>
              <w:bottom w:val="single" w:sz="4"/>
              <w:right w:val="single" w:sz="4"/>
            </w:tcBorders>
          </w:tcPr>
          <w:p>
            <w:pPr>
              <w:pStyle w:val="0"/>
            </w:pPr>
            <w:r>
              <w:rPr>
                <w:sz w:val="20"/>
              </w:rPr>
            </w:r>
          </w:p>
        </w:tc>
      </w:tr>
      <w:tr>
        <w:tc>
          <w:tcPr>
            <w:tcW w:w="3628"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(Министерство, Агентство, Служба)</w:t>
            </w:r>
          </w:p>
        </w:tc>
        <w:tc>
          <w:tcPr>
            <w:tcW w:w="1303" w:type="dxa"/>
            <w:vAlign w:val="bottom"/>
            <w:tcBorders>
              <w:top w:val="nil"/>
              <w:left w:val="nil"/>
              <w:bottom w:val="nil"/>
              <w:right w:val="single" w:sz="4"/>
            </w:tcBorders>
          </w:tcPr>
          <w:p>
            <w:pPr>
              <w:pStyle w:val="0"/>
            </w:pPr>
            <w:r>
              <w:rPr>
                <w:sz w:val="20"/>
              </w:rPr>
            </w:r>
          </w:p>
        </w:tc>
        <w:tc>
          <w:tcPr>
            <w:tcW w:w="850" w:type="dxa"/>
            <w:tcBorders>
              <w:top w:val="single" w:sz="4"/>
              <w:left w:val="single" w:sz="4"/>
              <w:bottom w:val="nil"/>
              <w:right w:val="single" w:sz="4"/>
            </w:tcBorders>
          </w:tcPr>
          <w:p>
            <w:pPr>
              <w:pStyle w:val="0"/>
            </w:pPr>
            <w:r>
              <w:rPr>
                <w:sz w:val="20"/>
              </w:rPr>
            </w:r>
          </w:p>
        </w:tc>
      </w:tr>
      <w:tr>
        <w:tc>
          <w:tcPr>
            <w:tcW w:w="3628" w:type="dxa"/>
            <w:tcBorders>
              <w:top w:val="nil"/>
              <w:left w:val="nil"/>
              <w:bottom w:val="nil"/>
              <w:right w:val="nil"/>
            </w:tcBorders>
          </w:tcPr>
          <w:p>
            <w:pPr>
              <w:pStyle w:val="0"/>
            </w:pPr>
            <w:r>
              <w:rPr>
                <w:sz w:val="20"/>
              </w:rPr>
              <w:t xml:space="preserve">Наименование федерального проекта </w:t>
            </w:r>
            <w:hyperlink w:history="0" w:anchor="P2253" w:tooltip="&lt;2&gt; Указывается наименование федерального проекта. В кодовой зоне указываются 1 - 5 разряды кода целевой статьи расходов федерального бюджета.">
              <w:r>
                <w:rPr>
                  <w:sz w:val="20"/>
                  <w:color w:val="0000ff"/>
                </w:rPr>
                <w:t xml:space="preserve">&lt;2&gt;</w:t>
              </w:r>
            </w:hyperlink>
          </w:p>
        </w:tc>
        <w:tc>
          <w:tcPr>
            <w:tcW w:w="3288" w:type="dxa"/>
            <w:tcBorders>
              <w:top w:val="nil"/>
              <w:left w:val="nil"/>
              <w:bottom w:val="single" w:sz="4"/>
              <w:right w:val="nil"/>
            </w:tcBorders>
          </w:tcPr>
          <w:p>
            <w:pPr>
              <w:pStyle w:val="0"/>
            </w:pPr>
            <w:r>
              <w:rPr>
                <w:sz w:val="20"/>
              </w:rPr>
            </w:r>
          </w:p>
        </w:tc>
        <w:tc>
          <w:tcPr>
            <w:tcW w:w="1303" w:type="dxa"/>
            <w:vAlign w:val="bottom"/>
            <w:tcBorders>
              <w:top w:val="nil"/>
              <w:left w:val="nil"/>
              <w:bottom w:val="nil"/>
              <w:right w:val="single" w:sz="4"/>
            </w:tcBorders>
          </w:tcPr>
          <w:bookmarkStart w:id="1532" w:name="P1532"/>
          <w:bookmarkEnd w:id="1532"/>
          <w:p>
            <w:pPr>
              <w:pStyle w:val="0"/>
              <w:jc w:val="right"/>
            </w:pPr>
            <w:r>
              <w:rPr>
                <w:sz w:val="20"/>
              </w:rPr>
              <w:t xml:space="preserve">по БК </w:t>
            </w:r>
            <w:hyperlink w:history="0" w:anchor="P2253" w:tooltip="&lt;2&gt; Указывается наименование федерального проекта. В кодовой зоне указываются 1 - 5 разряды кода целевой статьи расходов федерального бюджета.">
              <w:r>
                <w:rPr>
                  <w:sz w:val="20"/>
                  <w:color w:val="0000ff"/>
                </w:rPr>
                <w:t xml:space="preserve">&lt;2&gt;</w:t>
              </w:r>
            </w:hyperlink>
          </w:p>
        </w:tc>
        <w:tc>
          <w:tcPr>
            <w:tcW w:w="850" w:type="dxa"/>
            <w:tcBorders>
              <w:top w:val="nil"/>
              <w:left w:val="single" w:sz="4"/>
              <w:bottom w:val="single" w:sz="4"/>
              <w:right w:val="single" w:sz="4"/>
            </w:tcBorders>
          </w:tcPr>
          <w:p>
            <w:pPr>
              <w:pStyle w:val="0"/>
            </w:pPr>
            <w:r>
              <w:rPr>
                <w:sz w:val="20"/>
              </w:rPr>
            </w:r>
          </w:p>
        </w:tc>
      </w:tr>
      <w:tr>
        <w:tc>
          <w:tcPr>
            <w:tcW w:w="3628" w:type="dxa"/>
            <w:tcBorders>
              <w:top w:val="nil"/>
              <w:left w:val="nil"/>
              <w:bottom w:val="nil"/>
              <w:right w:val="nil"/>
            </w:tcBorders>
          </w:tcPr>
          <w:p>
            <w:pPr>
              <w:pStyle w:val="0"/>
            </w:pPr>
            <w:r>
              <w:rPr>
                <w:sz w:val="20"/>
              </w:rPr>
              <w:t xml:space="preserve">Наименование регионального проекта </w:t>
            </w:r>
            <w:hyperlink w:history="0" w:anchor="P2254" w:tooltip="&lt;2.1&gt; Указывается наименование регионального проекта в случае предоставления Иного межбюджетного трансферта в целях софинансирования расходных обязательств субъекта Российской Федерации, возникающих при реализации регионального проекта, обеспечивающего достижение целей, показателей и мероприятий (результатов) федерального проекта, входящего в состав соответствующего национального проекта. В кодовой зоне указываются 4 и 5 разряды кодов целевых статей расходов бюджета субъекта Российской Федерации.">
              <w:r>
                <w:rPr>
                  <w:sz w:val="20"/>
                  <w:color w:val="0000ff"/>
                </w:rPr>
                <w:t xml:space="preserve">&lt;2.1&gt;</w:t>
              </w:r>
            </w:hyperlink>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bookmarkStart w:id="1536" w:name="P1536"/>
          <w:bookmarkEnd w:id="1536"/>
          <w:p>
            <w:pPr>
              <w:pStyle w:val="0"/>
              <w:jc w:val="right"/>
            </w:pPr>
            <w:r>
              <w:rPr>
                <w:sz w:val="20"/>
              </w:rPr>
              <w:t xml:space="preserve">по БК </w:t>
            </w:r>
            <w:hyperlink w:history="0" w:anchor="P2254" w:tooltip="&lt;2.1&gt; Указывается наименование регионального проекта в случае предоставления Иного межбюджетного трансферта в целях софинансирования расходных обязательств субъекта Российской Федерации, возникающих при реализации регионального проекта, обеспечивающего достижение целей, показателей и мероприятий (результатов) федерального проекта, входящего в состав соответствующего национального проекта. В кодовой зоне указываются 4 и 5 разряды кодов целевых статей расходов бюджета субъекта Российской Федерации.">
              <w:r>
                <w:rPr>
                  <w:sz w:val="20"/>
                  <w:color w:val="0000ff"/>
                </w:rPr>
                <w:t xml:space="preserve">&lt;2.1&gt;</w:t>
              </w:r>
            </w:hyperlink>
          </w:p>
        </w:tc>
        <w:tc>
          <w:tcPr>
            <w:tcW w:w="850" w:type="dxa"/>
            <w:tcBorders>
              <w:top w:val="single" w:sz="4"/>
              <w:left w:val="single" w:sz="4"/>
              <w:bottom w:val="single" w:sz="4"/>
              <w:right w:val="single" w:sz="4"/>
            </w:tcBorders>
          </w:tcPr>
          <w:p>
            <w:pPr>
              <w:pStyle w:val="0"/>
            </w:pPr>
            <w:r>
              <w:rPr>
                <w:sz w:val="20"/>
              </w:rPr>
            </w:r>
          </w:p>
        </w:tc>
      </w:tr>
      <w:tr>
        <w:tc>
          <w:tcPr>
            <w:tcW w:w="3628" w:type="dxa"/>
            <w:tcBorders>
              <w:top w:val="nil"/>
              <w:left w:val="nil"/>
              <w:bottom w:val="nil"/>
              <w:right w:val="nil"/>
            </w:tcBorders>
          </w:tcPr>
          <w:p>
            <w:pPr>
              <w:pStyle w:val="0"/>
            </w:pPr>
            <w:r>
              <w:rPr>
                <w:sz w:val="20"/>
              </w:rPr>
              <w:t xml:space="preserve">Вид документа</w:t>
            </w:r>
          </w:p>
        </w:tc>
        <w:tc>
          <w:tcPr>
            <w:tcW w:w="3288" w:type="dxa"/>
            <w:tcBorders>
              <w:top w:val="single" w:sz="4"/>
              <w:left w:val="nil"/>
              <w:bottom w:val="single" w:sz="4"/>
              <w:right w:val="nil"/>
            </w:tcBorders>
          </w:tcPr>
          <w:p>
            <w:pPr>
              <w:pStyle w:val="0"/>
            </w:pPr>
            <w:r>
              <w:rPr>
                <w:sz w:val="20"/>
              </w:rPr>
            </w:r>
          </w:p>
        </w:tc>
        <w:tc>
          <w:tcPr>
            <w:tcW w:w="1303" w:type="dxa"/>
            <w:vAlign w:val="bottom"/>
            <w:tcBorders>
              <w:top w:val="nil"/>
              <w:left w:val="nil"/>
              <w:bottom w:val="nil"/>
              <w:right w:val="single" w:sz="4"/>
            </w:tcBorders>
          </w:tcPr>
          <w:p>
            <w:pPr>
              <w:pStyle w:val="0"/>
            </w:pPr>
            <w:r>
              <w:rPr>
                <w:sz w:val="20"/>
              </w:rPr>
            </w:r>
          </w:p>
        </w:tc>
        <w:tc>
          <w:tcPr>
            <w:tcW w:w="850" w:type="dxa"/>
            <w:tcBorders>
              <w:top w:val="single" w:sz="4"/>
              <w:left w:val="single" w:sz="4"/>
              <w:bottom w:val="nil"/>
              <w:right w:val="single" w:sz="4"/>
            </w:tcBorders>
          </w:tcPr>
          <w:p>
            <w:pPr>
              <w:pStyle w:val="0"/>
            </w:pPr>
            <w:r>
              <w:rPr>
                <w:sz w:val="20"/>
              </w:rPr>
            </w:r>
          </w:p>
        </w:tc>
      </w:tr>
      <w:tr>
        <w:tc>
          <w:tcPr>
            <w:tcW w:w="3628"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(первичный - "0", уточненный </w:t>
            </w:r>
            <w:hyperlink w:history="0" w:anchor="P2255" w:tooltip="&lt;3&gt; При представлении уточненного отчета указывается номер корректировки (например, &quot;1&quot;, &quot;2&quot;, &quot;3&quot;, &quot;...&quot;).">
              <w:r>
                <w:rPr>
                  <w:sz w:val="20"/>
                  <w:color w:val="0000ff"/>
                </w:rPr>
                <w:t xml:space="preserve">&lt;3&gt;</w:t>
              </w:r>
            </w:hyperlink>
            <w:r>
              <w:rPr>
                <w:sz w:val="20"/>
              </w:rPr>
              <w:t xml:space="preserve"> - "1", "2", "3", "...")</w:t>
            </w:r>
          </w:p>
        </w:tc>
        <w:tc>
          <w:tcPr>
            <w:tcW w:w="1303" w:type="dxa"/>
            <w:vAlign w:val="bottom"/>
            <w:tcBorders>
              <w:top w:val="nil"/>
              <w:left w:val="nil"/>
              <w:bottom w:val="nil"/>
              <w:right w:val="single" w:sz="4"/>
            </w:tcBorders>
          </w:tcPr>
          <w:p>
            <w:pPr>
              <w:pStyle w:val="0"/>
            </w:pPr>
            <w:r>
              <w:rPr>
                <w:sz w:val="20"/>
              </w:rPr>
            </w:r>
          </w:p>
        </w:tc>
        <w:tc>
          <w:tcPr>
            <w:tcW w:w="850" w:type="dxa"/>
            <w:tcBorders>
              <w:top w:val="nil"/>
              <w:left w:val="single" w:sz="4"/>
              <w:bottom w:val="single" w:sz="4"/>
              <w:right w:val="single" w:sz="4"/>
            </w:tcBorders>
          </w:tcPr>
          <w:p>
            <w:pPr>
              <w:pStyle w:val="0"/>
            </w:pPr>
            <w:r>
              <w:rPr>
                <w:sz w:val="20"/>
              </w:rPr>
            </w:r>
          </w:p>
        </w:tc>
      </w:tr>
      <w:tr>
        <w:tc>
          <w:tcPr>
            <w:tcW w:w="3628" w:type="dxa"/>
            <w:tcBorders>
              <w:top w:val="nil"/>
              <w:left w:val="nil"/>
              <w:bottom w:val="nil"/>
              <w:right w:val="nil"/>
            </w:tcBorders>
          </w:tcPr>
          <w:p>
            <w:pPr>
              <w:pStyle w:val="0"/>
            </w:pPr>
            <w:r>
              <w:rPr>
                <w:sz w:val="20"/>
              </w:rPr>
              <w:t xml:space="preserve">Периодичность: месячная, квартальная, годовая</w:t>
            </w:r>
          </w:p>
        </w:tc>
        <w:tc>
          <w:tcPr>
            <w:tcW w:w="3288" w:type="dxa"/>
            <w:tcBorders>
              <w:top w:val="nil"/>
              <w:left w:val="nil"/>
              <w:bottom w:val="nil"/>
              <w:right w:val="nil"/>
            </w:tcBorders>
          </w:tcPr>
          <w:p>
            <w:pPr>
              <w:pStyle w:val="0"/>
            </w:pPr>
            <w:r>
              <w:rPr>
                <w:sz w:val="20"/>
              </w:rPr>
            </w:r>
          </w:p>
        </w:tc>
        <w:tc>
          <w:tcPr>
            <w:tcW w:w="1303" w:type="dxa"/>
            <w:vAlign w:val="bottom"/>
            <w:tcBorders>
              <w:top w:val="nil"/>
              <w:left w:val="nil"/>
              <w:bottom w:val="nil"/>
              <w:right w:val="single" w:sz="4"/>
            </w:tcBorders>
          </w:tcPr>
          <w:p>
            <w:pPr>
              <w:pStyle w:val="0"/>
            </w:pPr>
            <w:r>
              <w:rPr>
                <w:sz w:val="20"/>
              </w:rPr>
            </w:r>
          </w:p>
        </w:tc>
        <w:tc>
          <w:tcPr>
            <w:tcW w:w="850" w:type="dxa"/>
            <w:tcBorders>
              <w:top w:val="single" w:sz="4"/>
              <w:left w:val="single" w:sz="4"/>
              <w:bottom w:val="single" w:sz="4"/>
              <w:right w:val="single" w:sz="4"/>
            </w:tcBorders>
          </w:tcPr>
          <w:p>
            <w:pPr>
              <w:pStyle w:val="0"/>
            </w:pPr>
            <w:r>
              <w:rPr>
                <w:sz w:val="20"/>
              </w:rPr>
            </w:r>
          </w:p>
        </w:tc>
      </w:tr>
    </w:tbl>
    <w:p>
      <w:pPr>
        <w:pStyle w:val="0"/>
        <w:jc w:val="both"/>
      </w:pPr>
      <w:r>
        <w:rPr>
          <w:sz w:val="20"/>
        </w:rPr>
      </w:r>
    </w:p>
    <w:bookmarkStart w:id="1551" w:name="P1551"/>
    <w:bookmarkEnd w:id="1551"/>
    <w:p>
      <w:pPr>
        <w:pStyle w:val="1"/>
        <w:jc w:val="both"/>
      </w:pPr>
      <w:r>
        <w:rPr>
          <w:sz w:val="20"/>
        </w:rPr>
        <w:t xml:space="preserve">              1. Информация о достижении значений результатов</w:t>
      </w:r>
    </w:p>
    <w:p>
      <w:pPr>
        <w:pStyle w:val="1"/>
        <w:jc w:val="both"/>
      </w:pPr>
      <w:r>
        <w:rPr>
          <w:sz w:val="20"/>
        </w:rPr>
        <w:t xml:space="preserve">      предоставления Иного межбюджетного трансферта и обязательствах,</w:t>
      </w:r>
    </w:p>
    <w:p>
      <w:pPr>
        <w:pStyle w:val="1"/>
        <w:jc w:val="both"/>
      </w:pPr>
      <w:r>
        <w:rPr>
          <w:sz w:val="20"/>
        </w:rPr>
        <w:t xml:space="preserve">                      принятых в целях их достижения</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right w:val="single" w:sz="4"/>
          <w:insideV w:val="single" w:sz="4"/>
          <w:insideH w:val="single" w:sz="4"/>
        </w:tblBorders>
        <w:tblCellMar>
          <w:top w:w="102" w:type="dxa"/>
          <w:left w:w="62" w:type="dxa"/>
          <w:bottom w:w="102" w:type="dxa"/>
          <w:right w:w="62" w:type="dxa"/>
        </w:tblCellMar>
      </w:tblPr>
      <w:tblGrid>
        <w:gridCol w:w="907"/>
        <w:gridCol w:w="737"/>
        <w:gridCol w:w="850"/>
        <w:gridCol w:w="850"/>
        <w:gridCol w:w="907"/>
        <w:gridCol w:w="737"/>
        <w:gridCol w:w="737"/>
        <w:gridCol w:w="794"/>
        <w:gridCol w:w="794"/>
        <w:gridCol w:w="686"/>
        <w:gridCol w:w="1247"/>
        <w:gridCol w:w="850"/>
        <w:gridCol w:w="1077"/>
        <w:gridCol w:w="850"/>
        <w:gridCol w:w="737"/>
        <w:gridCol w:w="638"/>
        <w:gridCol w:w="1474"/>
        <w:gridCol w:w="586"/>
        <w:gridCol w:w="1417"/>
        <w:gridCol w:w="680"/>
        <w:gridCol w:w="1587"/>
      </w:tblGrid>
      <w:tr>
        <w:tblPrEx>
          <w:tblBorders>
            <w:right w:val="nil"/>
          </w:tblBorders>
        </w:tblPrEx>
        <w:tc>
          <w:tcPr>
            <w:gridSpan w:val="2"/>
            <w:tcW w:w="1644" w:type="dxa"/>
            <w:tcBorders>
              <w:left w:val="nil"/>
            </w:tcBorders>
          </w:tcPr>
          <w:p>
            <w:pPr>
              <w:pStyle w:val="0"/>
              <w:jc w:val="center"/>
            </w:pPr>
            <w:r>
              <w:rPr>
                <w:sz w:val="20"/>
              </w:rPr>
              <w:t xml:space="preserve">Направление расходов </w:t>
            </w:r>
            <w:hyperlink w:history="0" w:anchor="P2256" w:tooltip="&lt;4&gt; Показатели граф 1 - 5 раздела 1 и граф 1 - 3 раздела 3 соответственно формируются на основании показателей граф 1 - 5 и 1 - 3 соответственно приложения к соглашению, оформленного в соответствии с приложением N 2 к настоящей Типовой форме соглашения. Также в графах 3 - 5 раздела 1 указываются наименования материальных и нематериальных объектов и (или) услуг, планируемых к получению в рамках достижения результата и соответствующие наименования единиц измерения и коды по ОКЕИ (при наличии в Правилах пре...">
              <w:r>
                <w:rPr>
                  <w:sz w:val="20"/>
                  <w:color w:val="0000ff"/>
                </w:rPr>
                <w:t xml:space="preserve">&lt;4&gt;</w:t>
              </w:r>
            </w:hyperlink>
          </w:p>
        </w:tc>
        <w:tc>
          <w:tcPr>
            <w:tcW w:w="850" w:type="dxa"/>
            <w:vMerge w:val="restart"/>
          </w:tcPr>
          <w:p>
            <w:pPr>
              <w:pStyle w:val="0"/>
              <w:jc w:val="center"/>
            </w:pPr>
            <w:r>
              <w:rPr>
                <w:sz w:val="20"/>
              </w:rPr>
              <w:t xml:space="preserve">Результат предоставления Иного межбюджетного трансферта </w:t>
            </w:r>
            <w:hyperlink w:history="0" w:anchor="P2256" w:tooltip="&lt;4&gt; Показатели граф 1 - 5 раздела 1 и граф 1 - 3 раздела 3 соответственно формируются на основании показателей граф 1 - 5 и 1 - 3 соответственно приложения к соглашению, оформленного в соответствии с приложением N 2 к настоящей Типовой форме соглашения. Также в графах 3 - 5 раздела 1 указываются наименования материальных и нематериальных объектов и (или) услуг, планируемых к получению в рамках достижения результата и соответствующие наименования единиц измерения и коды по ОКЕИ (при наличии в Правилах пре...">
              <w:r>
                <w:rPr>
                  <w:sz w:val="20"/>
                  <w:color w:val="0000ff"/>
                </w:rPr>
                <w:t xml:space="preserve">&lt;4&gt;</w:t>
              </w:r>
            </w:hyperlink>
          </w:p>
        </w:tc>
        <w:tc>
          <w:tcPr>
            <w:gridSpan w:val="2"/>
            <w:tcW w:w="1757" w:type="dxa"/>
          </w:tcPr>
          <w:p>
            <w:pPr>
              <w:pStyle w:val="0"/>
              <w:jc w:val="center"/>
            </w:pPr>
            <w:r>
              <w:rPr>
                <w:sz w:val="20"/>
              </w:rPr>
              <w:t xml:space="preserve">Единица измерения </w:t>
            </w:r>
            <w:hyperlink w:history="0" w:anchor="P2256" w:tooltip="&lt;4&gt; Показатели граф 1 - 5 раздела 1 и граф 1 - 3 раздела 3 соответственно формируются на основании показателей граф 1 - 5 и 1 - 3 соответственно приложения к соглашению, оформленного в соответствии с приложением N 2 к настоящей Типовой форме соглашения. Также в графах 3 - 5 раздела 1 указываются наименования материальных и нематериальных объектов и (или) услуг, планируемых к получению в рамках достижения результата и соответствующие наименования единиц измерения и коды по ОКЕИ (при наличии в Правилах пре...">
              <w:r>
                <w:rPr>
                  <w:sz w:val="20"/>
                  <w:color w:val="0000ff"/>
                </w:rPr>
                <w:t xml:space="preserve">&lt;4&gt;</w:t>
              </w:r>
            </w:hyperlink>
          </w:p>
        </w:tc>
        <w:tc>
          <w:tcPr>
            <w:tcW w:w="737" w:type="dxa"/>
            <w:vMerge w:val="restart"/>
          </w:tcPr>
          <w:p>
            <w:pPr>
              <w:pStyle w:val="0"/>
              <w:jc w:val="center"/>
            </w:pPr>
            <w:r>
              <w:rPr>
                <w:sz w:val="20"/>
              </w:rPr>
              <w:t xml:space="preserve">Код мероприятия (результата) федерального проекта </w:t>
            </w:r>
            <w:hyperlink w:history="0" w:anchor="P2257" w:tooltip="&lt;4.1&gt; Указывается соответствующий результату предоставления Иного межбюджетного трансферта код мероприятия (результата) федерального проекта, автоматически сформированный в системе &quot;Электронный бюджет&quot;.">
              <w:r>
                <w:rPr>
                  <w:sz w:val="20"/>
                  <w:color w:val="0000ff"/>
                </w:rPr>
                <w:t xml:space="preserve">&lt;4.1&gt;</w:t>
              </w:r>
            </w:hyperlink>
          </w:p>
        </w:tc>
        <w:tc>
          <w:tcPr>
            <w:tcW w:w="737" w:type="dxa"/>
            <w:vMerge w:val="restart"/>
          </w:tcPr>
          <w:p>
            <w:pPr>
              <w:pStyle w:val="0"/>
              <w:jc w:val="center"/>
            </w:pPr>
            <w:r>
              <w:rPr>
                <w:sz w:val="20"/>
              </w:rPr>
              <w:t xml:space="preserve">Код строки</w:t>
            </w:r>
          </w:p>
        </w:tc>
        <w:tc>
          <w:tcPr>
            <w:gridSpan w:val="2"/>
            <w:tcW w:w="1588" w:type="dxa"/>
          </w:tcPr>
          <w:p>
            <w:pPr>
              <w:pStyle w:val="0"/>
              <w:jc w:val="center"/>
            </w:pPr>
            <w:r>
              <w:rPr>
                <w:sz w:val="20"/>
              </w:rPr>
              <w:t xml:space="preserve">Плановые значения </w:t>
            </w:r>
            <w:hyperlink w:history="0" w:anchor="P2258" w:tooltip="&lt;5&gt; Указываются в соответствии с плановыми значениями, установленными в приложении к соглашению, оформленном в соответствии с приложением N 2 к настоящей Типовой форме соглашения, на соответствующую дату.">
              <w:r>
                <w:rPr>
                  <w:sz w:val="20"/>
                  <w:color w:val="0000ff"/>
                </w:rPr>
                <w:t xml:space="preserve">&lt;5&gt;</w:t>
              </w:r>
            </w:hyperlink>
          </w:p>
        </w:tc>
        <w:tc>
          <w:tcPr>
            <w:gridSpan w:val="2"/>
            <w:tcW w:w="1933" w:type="dxa"/>
            <w:vMerge w:val="restart"/>
          </w:tcPr>
          <w:p>
            <w:pPr>
              <w:pStyle w:val="0"/>
              <w:jc w:val="center"/>
            </w:pPr>
            <w:r>
              <w:rPr>
                <w:sz w:val="20"/>
              </w:rPr>
              <w:t xml:space="preserve">Объем финансового обеспечения расходных обязательств субъекта Российской Федерации, руб </w:t>
            </w:r>
            <w:hyperlink w:history="0" w:anchor="P2259" w:tooltip="&lt;6&gt; Показатели граф 9 и 10 раздела 1 формируются на основании значений, установленных в приложении N 1 к соглашению.">
              <w:r>
                <w:rPr>
                  <w:sz w:val="20"/>
                  <w:color w:val="0000ff"/>
                </w:rPr>
                <w:t xml:space="preserve">&lt;6&gt;</w:t>
              </w:r>
            </w:hyperlink>
          </w:p>
        </w:tc>
        <w:tc>
          <w:tcPr>
            <w:gridSpan w:val="4"/>
            <w:tcW w:w="3514" w:type="dxa"/>
          </w:tcPr>
          <w:p>
            <w:pPr>
              <w:pStyle w:val="0"/>
              <w:jc w:val="center"/>
            </w:pPr>
            <w:r>
              <w:rPr>
                <w:sz w:val="20"/>
              </w:rPr>
              <w:t xml:space="preserve">Фактически достигнутые значения </w:t>
            </w:r>
            <w:hyperlink w:history="0" w:anchor="P2260" w:tooltip="&lt;7&gt; Показатели формируются на основании показателей граф 9 - 12 раздела 2.1.">
              <w:r>
                <w:rPr>
                  <w:sz w:val="20"/>
                  <w:color w:val="0000ff"/>
                </w:rPr>
                <w:t xml:space="preserve">&lt;7&gt;</w:t>
              </w:r>
            </w:hyperlink>
          </w:p>
        </w:tc>
        <w:tc>
          <w:tcPr>
            <w:gridSpan w:val="4"/>
            <w:tcW w:w="4115" w:type="dxa"/>
            <w:vMerge w:val="restart"/>
          </w:tcPr>
          <w:p>
            <w:pPr>
              <w:pStyle w:val="0"/>
              <w:jc w:val="center"/>
            </w:pPr>
            <w:r>
              <w:rPr>
                <w:sz w:val="20"/>
              </w:rPr>
              <w:t xml:space="preserve">Объем обязательств, принятых в целях достижения результатов предоставления Иного межбюджетного трансферта, руб</w:t>
            </w:r>
          </w:p>
        </w:tc>
        <w:tc>
          <w:tcPr>
            <w:gridSpan w:val="2"/>
            <w:tcW w:w="2267" w:type="dxa"/>
            <w:tcBorders>
              <w:right w:val="nil"/>
            </w:tcBorders>
            <w:vMerge w:val="restart"/>
          </w:tcPr>
          <w:p>
            <w:pPr>
              <w:pStyle w:val="0"/>
              <w:jc w:val="center"/>
            </w:pPr>
            <w:r>
              <w:rPr>
                <w:sz w:val="20"/>
              </w:rPr>
              <w:t xml:space="preserve">Неиспользованный объем финансового обеспечения расходных обязательств субъекта Российской Федерации, руб </w:t>
            </w:r>
            <w:hyperlink w:history="0" w:anchor="P2263" w:tooltip="&lt;10&gt; Показатель формируется на 1 января года, следующего за отчетным (по окончанию срока действия соглашения).">
              <w:r>
                <w:rPr>
                  <w:sz w:val="20"/>
                  <w:color w:val="0000ff"/>
                </w:rPr>
                <w:t xml:space="preserve">&lt;10&gt;</w:t>
              </w:r>
            </w:hyperlink>
          </w:p>
        </w:tc>
      </w:tr>
      <w:tr>
        <w:tblPrEx>
          <w:tblBorders>
            <w:right w:val="nil"/>
          </w:tblBorders>
        </w:tblPrEx>
        <w:tc>
          <w:tcPr>
            <w:tcW w:w="907" w:type="dxa"/>
            <w:tcBorders>
              <w:left w:val="nil"/>
            </w:tcBorders>
            <w:vMerge w:val="restart"/>
          </w:tcPr>
          <w:p>
            <w:pPr>
              <w:pStyle w:val="0"/>
              <w:jc w:val="center"/>
            </w:pPr>
            <w:r>
              <w:rPr>
                <w:sz w:val="20"/>
              </w:rPr>
              <w:t xml:space="preserve">наименование</w:t>
            </w:r>
          </w:p>
        </w:tc>
        <w:tc>
          <w:tcPr>
            <w:tcW w:w="737" w:type="dxa"/>
            <w:vMerge w:val="restart"/>
          </w:tcPr>
          <w:p>
            <w:pPr>
              <w:pStyle w:val="0"/>
              <w:jc w:val="center"/>
            </w:pPr>
            <w:r>
              <w:rPr>
                <w:sz w:val="20"/>
              </w:rPr>
              <w:t xml:space="preserve">код по БК</w:t>
            </w:r>
          </w:p>
        </w:tc>
        <w:tc>
          <w:tcPr>
            <w:vMerge w:val="continue"/>
          </w:tcPr>
          <w:p/>
        </w:tc>
        <w:tc>
          <w:tcPr>
            <w:tcW w:w="850" w:type="dxa"/>
            <w:vMerge w:val="restart"/>
          </w:tcPr>
          <w:p>
            <w:pPr>
              <w:pStyle w:val="0"/>
              <w:jc w:val="center"/>
            </w:pPr>
            <w:r>
              <w:rPr>
                <w:sz w:val="20"/>
              </w:rPr>
              <w:t xml:space="preserve">наименование</w:t>
            </w:r>
          </w:p>
        </w:tc>
        <w:tc>
          <w:tcPr>
            <w:tcW w:w="907" w:type="dxa"/>
            <w:vMerge w:val="restart"/>
          </w:tcPr>
          <w:p>
            <w:pPr>
              <w:pStyle w:val="0"/>
              <w:jc w:val="center"/>
            </w:pPr>
            <w:r>
              <w:rPr>
                <w:sz w:val="20"/>
              </w:rPr>
              <w:t xml:space="preserve">код по </w:t>
            </w:r>
            <w:hyperlink w:history="0" r:id="rId7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tc>
        <w:tc>
          <w:tcPr>
            <w:vMerge w:val="continue"/>
          </w:tcPr>
          <w:p/>
        </w:tc>
        <w:tc>
          <w:tcPr>
            <w:vMerge w:val="continue"/>
          </w:tcPr>
          <w:p/>
        </w:tc>
        <w:tc>
          <w:tcPr>
            <w:tcW w:w="794" w:type="dxa"/>
            <w:vMerge w:val="restart"/>
          </w:tcPr>
          <w:p>
            <w:pPr>
              <w:pStyle w:val="0"/>
              <w:jc w:val="center"/>
            </w:pPr>
            <w:r>
              <w:rPr>
                <w:sz w:val="20"/>
              </w:rPr>
              <w:t xml:space="preserve">с даты заключения соглашения</w:t>
            </w:r>
          </w:p>
        </w:tc>
        <w:tc>
          <w:tcPr>
            <w:tcW w:w="794" w:type="dxa"/>
            <w:vMerge w:val="restart"/>
          </w:tcPr>
          <w:p>
            <w:pPr>
              <w:pStyle w:val="0"/>
              <w:jc w:val="center"/>
            </w:pPr>
            <w:r>
              <w:rPr>
                <w:sz w:val="20"/>
              </w:rPr>
              <w:t xml:space="preserve">из них с начала текущего финансового года</w:t>
            </w:r>
          </w:p>
        </w:tc>
        <w:tc>
          <w:tcPr>
            <w:gridSpan w:val="2"/>
            <w:vMerge w:val="continue"/>
          </w:tcPr>
          <w:p/>
        </w:tc>
        <w:tc>
          <w:tcPr>
            <w:gridSpan w:val="2"/>
            <w:tcW w:w="1927" w:type="dxa"/>
            <w:vMerge w:val="restart"/>
          </w:tcPr>
          <w:p>
            <w:pPr>
              <w:pStyle w:val="0"/>
              <w:jc w:val="center"/>
            </w:pPr>
            <w:r>
              <w:rPr>
                <w:sz w:val="20"/>
              </w:rPr>
              <w:t xml:space="preserve">на отчетную дату</w:t>
            </w:r>
          </w:p>
        </w:tc>
        <w:tc>
          <w:tcPr>
            <w:gridSpan w:val="2"/>
            <w:tcW w:w="1587" w:type="dxa"/>
            <w:vMerge w:val="restart"/>
          </w:tcPr>
          <w:p>
            <w:pPr>
              <w:pStyle w:val="0"/>
              <w:jc w:val="center"/>
            </w:pPr>
            <w:r>
              <w:rPr>
                <w:sz w:val="20"/>
              </w:rPr>
              <w:t xml:space="preserve">отклонение от планового значения</w:t>
            </w:r>
          </w:p>
        </w:tc>
        <w:tc>
          <w:tcPr>
            <w:gridSpan w:val="4"/>
            <w:vMerge w:val="continue"/>
          </w:tcPr>
          <w:p/>
        </w:tc>
        <w:tc>
          <w:tcPr>
            <w:gridSpan w:val="2"/>
            <w:tcBorders>
              <w:right w:val="nil"/>
            </w:tcBorders>
            <w:vMerge w:val="continue"/>
          </w:tcPr>
          <w:p/>
        </w:tc>
      </w:tr>
      <w:tr>
        <w:tblPrEx>
          <w:tblBorders>
            <w:right w:val="nil"/>
          </w:tblBorders>
        </w:tblPrEx>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gridSpan w:val="2"/>
            <w:vMerge w:val="continue"/>
          </w:tcPr>
          <w:p/>
        </w:tc>
        <w:tc>
          <w:tcPr>
            <w:gridSpan w:val="2"/>
            <w:vMerge w:val="continue"/>
          </w:tcPr>
          <w:p/>
        </w:tc>
        <w:tc>
          <w:tcPr>
            <w:gridSpan w:val="2"/>
            <w:tcW w:w="2112" w:type="dxa"/>
          </w:tcPr>
          <w:p>
            <w:pPr>
              <w:pStyle w:val="0"/>
              <w:jc w:val="center"/>
            </w:pPr>
            <w:r>
              <w:rPr>
                <w:sz w:val="20"/>
              </w:rPr>
              <w:t xml:space="preserve">обязательств </w:t>
            </w:r>
            <w:hyperlink w:history="0" w:anchor="P2261" w:tooltip="&lt;8&gt; Указывается объем обязательств, принятых в целях достижения значений результата предоставления Иного межбюджетного трансферта, отраженных в графе 12 раздела 1. Показатели граф 15 и 16 раздела 1 соответственно формируются на основании показателей граф 16 и 17 раздела 2.1.">
              <w:r>
                <w:rPr>
                  <w:sz w:val="20"/>
                  <w:color w:val="0000ff"/>
                </w:rPr>
                <w:t xml:space="preserve">&lt;8&gt;</w:t>
              </w:r>
            </w:hyperlink>
          </w:p>
        </w:tc>
        <w:tc>
          <w:tcPr>
            <w:gridSpan w:val="2"/>
            <w:tcW w:w="2003" w:type="dxa"/>
          </w:tcPr>
          <w:p>
            <w:pPr>
              <w:pStyle w:val="0"/>
              <w:jc w:val="center"/>
            </w:pPr>
            <w:r>
              <w:rPr>
                <w:sz w:val="20"/>
              </w:rPr>
              <w:t xml:space="preserve">денежных обязательств </w:t>
            </w:r>
            <w:hyperlink w:history="0" w:anchor="P2262" w:tooltip="&lt;9&gt; Указывается объем денежных обязательств (за исключением авансов), принятых в целях достижения значений результата предоставления Иного межбюджетного трансферта, отраженных в графе 12 раздела 1. Показатели граф 17 и 18 раздела 1 формируются на основании на показателей граф 18 и 19 раздела 2.1 соответственно.">
              <w:r>
                <w:rPr>
                  <w:sz w:val="20"/>
                  <w:color w:val="0000ff"/>
                </w:rPr>
                <w:t xml:space="preserve">&lt;9&gt;</w:t>
              </w:r>
            </w:hyperlink>
          </w:p>
        </w:tc>
        <w:tc>
          <w:tcPr>
            <w:gridSpan w:val="2"/>
            <w:tcBorders>
              <w:right w:val="nil"/>
            </w:tcBorders>
            <w:vMerge w:val="continue"/>
          </w:tcPr>
          <w:p/>
        </w:tc>
      </w:tr>
      <w:tr>
        <w:tblPrEx>
          <w:tblBorders>
            <w:right w:val="nil"/>
          </w:tblBorders>
        </w:tblPrEx>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86" w:type="dxa"/>
          </w:tcPr>
          <w:p>
            <w:pPr>
              <w:pStyle w:val="0"/>
              <w:jc w:val="center"/>
            </w:pPr>
            <w:r>
              <w:rPr>
                <w:sz w:val="20"/>
              </w:rPr>
              <w:t xml:space="preserve">всего</w:t>
            </w:r>
          </w:p>
        </w:tc>
        <w:tc>
          <w:tcPr>
            <w:tcW w:w="1247" w:type="dxa"/>
          </w:tcPr>
          <w:p>
            <w:pPr>
              <w:pStyle w:val="0"/>
              <w:jc w:val="center"/>
            </w:pPr>
            <w:r>
              <w:rPr>
                <w:sz w:val="20"/>
              </w:rPr>
              <w:t xml:space="preserve">из них в размере софинансирования из федерального бюджета</w:t>
            </w:r>
          </w:p>
        </w:tc>
        <w:tc>
          <w:tcPr>
            <w:tcW w:w="850" w:type="dxa"/>
          </w:tcPr>
          <w:p>
            <w:pPr>
              <w:pStyle w:val="0"/>
              <w:jc w:val="center"/>
            </w:pPr>
            <w:r>
              <w:rPr>
                <w:sz w:val="20"/>
              </w:rPr>
              <w:t xml:space="preserve">с даты заключения соглашения</w:t>
            </w:r>
          </w:p>
        </w:tc>
        <w:tc>
          <w:tcPr>
            <w:tcW w:w="1077" w:type="dxa"/>
          </w:tcPr>
          <w:p>
            <w:pPr>
              <w:pStyle w:val="0"/>
              <w:jc w:val="center"/>
            </w:pPr>
            <w:r>
              <w:rPr>
                <w:sz w:val="20"/>
              </w:rPr>
              <w:t xml:space="preserve">из них с начала текущего финансового года</w:t>
            </w:r>
          </w:p>
        </w:tc>
        <w:tc>
          <w:tcPr>
            <w:tcW w:w="850" w:type="dxa"/>
          </w:tcPr>
          <w:p>
            <w:pPr>
              <w:pStyle w:val="0"/>
              <w:jc w:val="center"/>
            </w:pPr>
            <w:r>
              <w:rPr>
                <w:sz w:val="20"/>
              </w:rPr>
              <w:t xml:space="preserve">в абсолютных величинах</w:t>
            </w:r>
          </w:p>
        </w:tc>
        <w:tc>
          <w:tcPr>
            <w:tcW w:w="737" w:type="dxa"/>
          </w:tcPr>
          <w:p>
            <w:pPr>
              <w:pStyle w:val="0"/>
              <w:jc w:val="center"/>
            </w:pPr>
            <w:r>
              <w:rPr>
                <w:sz w:val="20"/>
              </w:rPr>
              <w:t xml:space="preserve">в процентах</w:t>
            </w:r>
          </w:p>
        </w:tc>
        <w:tc>
          <w:tcPr>
            <w:tcW w:w="638" w:type="dxa"/>
          </w:tcPr>
          <w:p>
            <w:pPr>
              <w:pStyle w:val="0"/>
              <w:jc w:val="center"/>
            </w:pPr>
            <w:r>
              <w:rPr>
                <w:sz w:val="20"/>
              </w:rPr>
              <w:t xml:space="preserve">всего</w:t>
            </w:r>
          </w:p>
        </w:tc>
        <w:tc>
          <w:tcPr>
            <w:tcW w:w="1474" w:type="dxa"/>
          </w:tcPr>
          <w:p>
            <w:pPr>
              <w:pStyle w:val="0"/>
              <w:jc w:val="center"/>
            </w:pPr>
            <w:r>
              <w:rPr>
                <w:sz w:val="20"/>
              </w:rPr>
              <w:t xml:space="preserve">из них в размере софинансирования из федерального бюджета</w:t>
            </w:r>
          </w:p>
        </w:tc>
        <w:tc>
          <w:tcPr>
            <w:tcW w:w="586" w:type="dxa"/>
          </w:tcPr>
          <w:p>
            <w:pPr>
              <w:pStyle w:val="0"/>
              <w:jc w:val="center"/>
            </w:pPr>
            <w:r>
              <w:rPr>
                <w:sz w:val="20"/>
              </w:rPr>
              <w:t xml:space="preserve">всего</w:t>
            </w:r>
          </w:p>
        </w:tc>
        <w:tc>
          <w:tcPr>
            <w:tcW w:w="1417" w:type="dxa"/>
          </w:tcPr>
          <w:p>
            <w:pPr>
              <w:pStyle w:val="0"/>
              <w:jc w:val="center"/>
            </w:pPr>
            <w:r>
              <w:rPr>
                <w:sz w:val="20"/>
              </w:rPr>
              <w:t xml:space="preserve">из них в размере софинансирования из федерального бюджета</w:t>
            </w:r>
          </w:p>
        </w:tc>
        <w:tc>
          <w:tcPr>
            <w:tcW w:w="680" w:type="dxa"/>
          </w:tcPr>
          <w:p>
            <w:pPr>
              <w:pStyle w:val="0"/>
              <w:jc w:val="center"/>
            </w:pPr>
            <w:r>
              <w:rPr>
                <w:sz w:val="20"/>
              </w:rPr>
              <w:t xml:space="preserve">всего (</w:t>
            </w:r>
            <w:hyperlink w:history="0" w:anchor="P1596" w:tooltip="9">
              <w:r>
                <w:rPr>
                  <w:sz w:val="20"/>
                  <w:color w:val="0000ff"/>
                </w:rPr>
                <w:t xml:space="preserve">гр. 9</w:t>
              </w:r>
            </w:hyperlink>
            <w:r>
              <w:rPr>
                <w:sz w:val="20"/>
              </w:rPr>
              <w:t xml:space="preserve"> - </w:t>
            </w:r>
            <w:hyperlink w:history="0" w:anchor="P1602" w:tooltip="15">
              <w:r>
                <w:rPr>
                  <w:sz w:val="20"/>
                  <w:color w:val="0000ff"/>
                </w:rPr>
                <w:t xml:space="preserve">гр. 15</w:t>
              </w:r>
            </w:hyperlink>
            <w:r>
              <w:rPr>
                <w:sz w:val="20"/>
              </w:rPr>
              <w:t xml:space="preserve">)</w:t>
            </w:r>
          </w:p>
        </w:tc>
        <w:tc>
          <w:tcPr>
            <w:tcW w:w="1587" w:type="dxa"/>
            <w:tcBorders>
              <w:right w:val="nil"/>
            </w:tcBorders>
          </w:tcPr>
          <w:p>
            <w:pPr>
              <w:pStyle w:val="0"/>
              <w:jc w:val="center"/>
            </w:pPr>
            <w:r>
              <w:rPr>
                <w:sz w:val="20"/>
              </w:rPr>
              <w:t xml:space="preserve">из них в размере софинансирования из федерального бюджета (</w:t>
            </w:r>
            <w:hyperlink w:history="0" w:anchor="P1597" w:tooltip="10">
              <w:r>
                <w:rPr>
                  <w:sz w:val="20"/>
                  <w:color w:val="0000ff"/>
                </w:rPr>
                <w:t xml:space="preserve">гр. 10</w:t>
              </w:r>
            </w:hyperlink>
            <w:r>
              <w:rPr>
                <w:sz w:val="20"/>
              </w:rPr>
              <w:t xml:space="preserve"> - </w:t>
            </w:r>
            <w:hyperlink w:history="0" w:anchor="P1603" w:tooltip="16">
              <w:r>
                <w:rPr>
                  <w:sz w:val="20"/>
                  <w:color w:val="0000ff"/>
                </w:rPr>
                <w:t xml:space="preserve">гр. 16</w:t>
              </w:r>
            </w:hyperlink>
            <w:r>
              <w:rPr>
                <w:sz w:val="20"/>
              </w:rPr>
              <w:t xml:space="preserve">)</w:t>
            </w:r>
          </w:p>
        </w:tc>
      </w:tr>
      <w:tr>
        <w:tblPrEx>
          <w:tblBorders>
            <w:right w:val="nil"/>
          </w:tblBorders>
        </w:tblPrEx>
        <w:tc>
          <w:tcPr>
            <w:tcW w:w="907" w:type="dxa"/>
            <w:tcBorders>
              <w:left w:val="nil"/>
            </w:tcBorders>
          </w:tcPr>
          <w:bookmarkStart w:id="1587" w:name="P1587"/>
          <w:bookmarkEnd w:id="1587"/>
          <w:p>
            <w:pPr>
              <w:pStyle w:val="0"/>
              <w:jc w:val="center"/>
            </w:pPr>
            <w:r>
              <w:rPr>
                <w:sz w:val="20"/>
              </w:rPr>
              <w:t xml:space="preserve">1</w:t>
            </w:r>
          </w:p>
        </w:tc>
        <w:tc>
          <w:tcPr>
            <w:tcW w:w="737" w:type="dxa"/>
          </w:tcPr>
          <w:p>
            <w:pPr>
              <w:pStyle w:val="0"/>
              <w:jc w:val="center"/>
            </w:pPr>
            <w:r>
              <w:rPr>
                <w:sz w:val="20"/>
              </w:rPr>
              <w:t xml:space="preserve">2</w:t>
            </w:r>
          </w:p>
        </w:tc>
        <w:tc>
          <w:tcPr>
            <w:tcW w:w="850" w:type="dxa"/>
          </w:tcPr>
          <w:bookmarkStart w:id="1589" w:name="P1589"/>
          <w:bookmarkEnd w:id="1589"/>
          <w:p>
            <w:pPr>
              <w:pStyle w:val="0"/>
              <w:jc w:val="center"/>
            </w:pPr>
            <w:r>
              <w:rPr>
                <w:sz w:val="20"/>
              </w:rPr>
              <w:t xml:space="preserve">3</w:t>
            </w:r>
          </w:p>
        </w:tc>
        <w:tc>
          <w:tcPr>
            <w:tcW w:w="850" w:type="dxa"/>
          </w:tcPr>
          <w:p>
            <w:pPr>
              <w:pStyle w:val="0"/>
              <w:jc w:val="center"/>
            </w:pPr>
            <w:r>
              <w:rPr>
                <w:sz w:val="20"/>
              </w:rPr>
              <w:t xml:space="preserve">4</w:t>
            </w:r>
          </w:p>
        </w:tc>
        <w:tc>
          <w:tcPr>
            <w:tcW w:w="907" w:type="dxa"/>
          </w:tcPr>
          <w:bookmarkStart w:id="1591" w:name="P1591"/>
          <w:bookmarkEnd w:id="1591"/>
          <w:p>
            <w:pPr>
              <w:pStyle w:val="0"/>
              <w:jc w:val="center"/>
            </w:pPr>
            <w:r>
              <w:rPr>
                <w:sz w:val="20"/>
              </w:rPr>
              <w:t xml:space="preserve">5</w:t>
            </w:r>
          </w:p>
        </w:tc>
        <w:tc>
          <w:tcPr>
            <w:tcW w:w="737" w:type="dxa"/>
          </w:tcPr>
          <w:p>
            <w:pPr>
              <w:pStyle w:val="0"/>
              <w:jc w:val="center"/>
            </w:pPr>
            <w:r>
              <w:rPr>
                <w:sz w:val="20"/>
              </w:rPr>
              <w:t xml:space="preserve">5.1</w:t>
            </w:r>
          </w:p>
        </w:tc>
        <w:tc>
          <w:tcPr>
            <w:tcW w:w="737" w:type="dxa"/>
          </w:tcPr>
          <w:p>
            <w:pPr>
              <w:pStyle w:val="0"/>
              <w:jc w:val="center"/>
            </w:pPr>
            <w:r>
              <w:rPr>
                <w:sz w:val="20"/>
              </w:rPr>
              <w:t xml:space="preserve">6</w:t>
            </w:r>
          </w:p>
        </w:tc>
        <w:tc>
          <w:tcPr>
            <w:tcW w:w="794" w:type="dxa"/>
          </w:tcPr>
          <w:bookmarkStart w:id="1594" w:name="P1594"/>
          <w:bookmarkEnd w:id="1594"/>
          <w:p>
            <w:pPr>
              <w:pStyle w:val="0"/>
              <w:jc w:val="center"/>
            </w:pPr>
            <w:r>
              <w:rPr>
                <w:sz w:val="20"/>
              </w:rPr>
              <w:t xml:space="preserve">7</w:t>
            </w:r>
          </w:p>
        </w:tc>
        <w:tc>
          <w:tcPr>
            <w:tcW w:w="794" w:type="dxa"/>
          </w:tcPr>
          <w:bookmarkStart w:id="1595" w:name="P1595"/>
          <w:bookmarkEnd w:id="1595"/>
          <w:p>
            <w:pPr>
              <w:pStyle w:val="0"/>
              <w:jc w:val="center"/>
            </w:pPr>
            <w:r>
              <w:rPr>
                <w:sz w:val="20"/>
              </w:rPr>
              <w:t xml:space="preserve">8</w:t>
            </w:r>
          </w:p>
        </w:tc>
        <w:tc>
          <w:tcPr>
            <w:tcW w:w="686" w:type="dxa"/>
          </w:tcPr>
          <w:bookmarkStart w:id="1596" w:name="P1596"/>
          <w:bookmarkEnd w:id="1596"/>
          <w:p>
            <w:pPr>
              <w:pStyle w:val="0"/>
              <w:jc w:val="center"/>
            </w:pPr>
            <w:r>
              <w:rPr>
                <w:sz w:val="20"/>
              </w:rPr>
              <w:t xml:space="preserve">9</w:t>
            </w:r>
          </w:p>
        </w:tc>
        <w:tc>
          <w:tcPr>
            <w:tcW w:w="1247" w:type="dxa"/>
          </w:tcPr>
          <w:bookmarkStart w:id="1597" w:name="P1597"/>
          <w:bookmarkEnd w:id="1597"/>
          <w:p>
            <w:pPr>
              <w:pStyle w:val="0"/>
              <w:jc w:val="center"/>
            </w:pPr>
            <w:r>
              <w:rPr>
                <w:sz w:val="20"/>
              </w:rPr>
              <w:t xml:space="preserve">10</w:t>
            </w:r>
          </w:p>
        </w:tc>
        <w:tc>
          <w:tcPr>
            <w:tcW w:w="850" w:type="dxa"/>
          </w:tcPr>
          <w:p>
            <w:pPr>
              <w:pStyle w:val="0"/>
              <w:jc w:val="center"/>
            </w:pPr>
            <w:r>
              <w:rPr>
                <w:sz w:val="20"/>
              </w:rPr>
              <w:t xml:space="preserve">11</w:t>
            </w:r>
          </w:p>
        </w:tc>
        <w:tc>
          <w:tcPr>
            <w:tcW w:w="1077" w:type="dxa"/>
          </w:tcPr>
          <w:bookmarkStart w:id="1599" w:name="P1599"/>
          <w:bookmarkEnd w:id="1599"/>
          <w:p>
            <w:pPr>
              <w:pStyle w:val="0"/>
              <w:jc w:val="center"/>
            </w:pPr>
            <w:r>
              <w:rPr>
                <w:sz w:val="20"/>
              </w:rPr>
              <w:t xml:space="preserve">12</w:t>
            </w:r>
          </w:p>
        </w:tc>
        <w:tc>
          <w:tcPr>
            <w:tcW w:w="850" w:type="dxa"/>
          </w:tcPr>
          <w:p>
            <w:pPr>
              <w:pStyle w:val="0"/>
              <w:jc w:val="center"/>
            </w:pPr>
            <w:r>
              <w:rPr>
                <w:sz w:val="20"/>
              </w:rPr>
              <w:t xml:space="preserve">13</w:t>
            </w:r>
          </w:p>
        </w:tc>
        <w:tc>
          <w:tcPr>
            <w:tcW w:w="737" w:type="dxa"/>
          </w:tcPr>
          <w:p>
            <w:pPr>
              <w:pStyle w:val="0"/>
              <w:jc w:val="center"/>
            </w:pPr>
            <w:r>
              <w:rPr>
                <w:sz w:val="20"/>
              </w:rPr>
              <w:t xml:space="preserve">14</w:t>
            </w:r>
          </w:p>
        </w:tc>
        <w:tc>
          <w:tcPr>
            <w:tcW w:w="638" w:type="dxa"/>
          </w:tcPr>
          <w:bookmarkStart w:id="1602" w:name="P1602"/>
          <w:bookmarkEnd w:id="1602"/>
          <w:p>
            <w:pPr>
              <w:pStyle w:val="0"/>
              <w:jc w:val="center"/>
            </w:pPr>
            <w:r>
              <w:rPr>
                <w:sz w:val="20"/>
              </w:rPr>
              <w:t xml:space="preserve">15</w:t>
            </w:r>
          </w:p>
        </w:tc>
        <w:tc>
          <w:tcPr>
            <w:tcW w:w="1474" w:type="dxa"/>
          </w:tcPr>
          <w:bookmarkStart w:id="1603" w:name="P1603"/>
          <w:bookmarkEnd w:id="1603"/>
          <w:p>
            <w:pPr>
              <w:pStyle w:val="0"/>
              <w:jc w:val="center"/>
            </w:pPr>
            <w:r>
              <w:rPr>
                <w:sz w:val="20"/>
              </w:rPr>
              <w:t xml:space="preserve">16</w:t>
            </w:r>
          </w:p>
        </w:tc>
        <w:tc>
          <w:tcPr>
            <w:tcW w:w="586" w:type="dxa"/>
          </w:tcPr>
          <w:bookmarkStart w:id="1604" w:name="P1604"/>
          <w:bookmarkEnd w:id="1604"/>
          <w:p>
            <w:pPr>
              <w:pStyle w:val="0"/>
              <w:jc w:val="center"/>
            </w:pPr>
            <w:r>
              <w:rPr>
                <w:sz w:val="20"/>
              </w:rPr>
              <w:t xml:space="preserve">17</w:t>
            </w:r>
          </w:p>
        </w:tc>
        <w:tc>
          <w:tcPr>
            <w:tcW w:w="1417" w:type="dxa"/>
          </w:tcPr>
          <w:bookmarkStart w:id="1605" w:name="P1605"/>
          <w:bookmarkEnd w:id="1605"/>
          <w:p>
            <w:pPr>
              <w:pStyle w:val="0"/>
              <w:jc w:val="center"/>
            </w:pPr>
            <w:r>
              <w:rPr>
                <w:sz w:val="20"/>
              </w:rPr>
              <w:t xml:space="preserve">18</w:t>
            </w:r>
          </w:p>
        </w:tc>
        <w:tc>
          <w:tcPr>
            <w:tcW w:w="680" w:type="dxa"/>
          </w:tcPr>
          <w:p>
            <w:pPr>
              <w:pStyle w:val="0"/>
              <w:jc w:val="center"/>
            </w:pPr>
            <w:r>
              <w:rPr>
                <w:sz w:val="20"/>
              </w:rPr>
              <w:t xml:space="preserve">19</w:t>
            </w:r>
          </w:p>
        </w:tc>
        <w:tc>
          <w:tcPr>
            <w:tcW w:w="1587" w:type="dxa"/>
            <w:tcBorders>
              <w:right w:val="nil"/>
            </w:tcBorders>
          </w:tcPr>
          <w:bookmarkStart w:id="1607" w:name="P1607"/>
          <w:bookmarkEnd w:id="1607"/>
          <w:p>
            <w:pPr>
              <w:pStyle w:val="0"/>
              <w:jc w:val="center"/>
            </w:pPr>
            <w:r>
              <w:rPr>
                <w:sz w:val="20"/>
              </w:rPr>
              <w:t xml:space="preserve">20</w:t>
            </w:r>
          </w:p>
        </w:tc>
      </w:tr>
      <w:tr>
        <w:tc>
          <w:tcPr>
            <w:tcW w:w="907" w:type="dxa"/>
            <w:tcBorders>
              <w:left w:val="nil"/>
            </w:tcBorders>
            <w:vMerge w:val="restart"/>
          </w:tcPr>
          <w:p>
            <w:pPr>
              <w:pStyle w:val="0"/>
            </w:pPr>
            <w:r>
              <w:rPr>
                <w:sz w:val="20"/>
              </w:rPr>
            </w:r>
          </w:p>
        </w:tc>
        <w:tc>
          <w:tcPr>
            <w:tcW w:w="737" w:type="dxa"/>
            <w:vMerge w:val="restart"/>
          </w:tcPr>
          <w:p>
            <w:pPr>
              <w:pStyle w:val="0"/>
            </w:pPr>
            <w:r>
              <w:rPr>
                <w:sz w:val="20"/>
              </w:rPr>
            </w:r>
          </w:p>
        </w:tc>
        <w:tc>
          <w:tcPr>
            <w:tcW w:w="850"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37" w:type="dxa"/>
          </w:tcPr>
          <w:p>
            <w:pPr>
              <w:pStyle w:val="0"/>
              <w:jc w:val="both"/>
            </w:pPr>
            <w:r>
              <w:rPr>
                <w:sz w:val="20"/>
              </w:rPr>
            </w:r>
          </w:p>
        </w:tc>
        <w:tc>
          <w:tcPr>
            <w:tcW w:w="737" w:type="dxa"/>
          </w:tcPr>
          <w:p>
            <w:pPr>
              <w:pStyle w:val="0"/>
              <w:jc w:val="center"/>
            </w:pPr>
            <w:r>
              <w:rPr>
                <w:sz w:val="20"/>
              </w:rPr>
              <w:t xml:space="preserve">0100</w:t>
            </w:r>
          </w:p>
        </w:tc>
        <w:tc>
          <w:tcPr>
            <w:tcW w:w="794" w:type="dxa"/>
          </w:tcPr>
          <w:p>
            <w:pPr>
              <w:pStyle w:val="0"/>
            </w:pPr>
            <w:r>
              <w:rPr>
                <w:sz w:val="20"/>
              </w:rPr>
            </w:r>
          </w:p>
        </w:tc>
        <w:tc>
          <w:tcPr>
            <w:tcW w:w="794" w:type="dxa"/>
          </w:tcPr>
          <w:p>
            <w:pPr>
              <w:pStyle w:val="0"/>
            </w:pPr>
            <w:r>
              <w:rPr>
                <w:sz w:val="20"/>
              </w:rPr>
            </w:r>
          </w:p>
        </w:tc>
        <w:tc>
          <w:tcPr>
            <w:tcW w:w="686" w:type="dxa"/>
            <w:vMerge w:val="restart"/>
          </w:tcPr>
          <w:p>
            <w:pPr>
              <w:pStyle w:val="0"/>
            </w:pPr>
            <w:r>
              <w:rPr>
                <w:sz w:val="20"/>
              </w:rPr>
            </w:r>
          </w:p>
        </w:tc>
        <w:tc>
          <w:tcPr>
            <w:tcW w:w="1247" w:type="dxa"/>
            <w:vMerge w:val="restart"/>
          </w:tcPr>
          <w:p>
            <w:pPr>
              <w:pStyle w:val="0"/>
            </w:pPr>
            <w:r>
              <w:rPr>
                <w:sz w:val="20"/>
              </w:rPr>
            </w:r>
          </w:p>
        </w:tc>
        <w:tc>
          <w:tcPr>
            <w:tcW w:w="850"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737" w:type="dxa"/>
          </w:tcPr>
          <w:p>
            <w:pPr>
              <w:pStyle w:val="0"/>
            </w:pPr>
            <w:r>
              <w:rPr>
                <w:sz w:val="20"/>
              </w:rPr>
            </w:r>
          </w:p>
        </w:tc>
        <w:tc>
          <w:tcPr>
            <w:tcW w:w="638" w:type="dxa"/>
            <w:vMerge w:val="restart"/>
          </w:tcPr>
          <w:p>
            <w:pPr>
              <w:pStyle w:val="0"/>
            </w:pPr>
            <w:r>
              <w:rPr>
                <w:sz w:val="20"/>
              </w:rPr>
            </w:r>
          </w:p>
        </w:tc>
        <w:tc>
          <w:tcPr>
            <w:tcW w:w="1474" w:type="dxa"/>
            <w:vMerge w:val="restart"/>
          </w:tcPr>
          <w:p>
            <w:pPr>
              <w:pStyle w:val="0"/>
            </w:pPr>
            <w:r>
              <w:rPr>
                <w:sz w:val="20"/>
              </w:rPr>
            </w:r>
          </w:p>
        </w:tc>
        <w:tc>
          <w:tcPr>
            <w:tcW w:w="586" w:type="dxa"/>
            <w:vMerge w:val="restart"/>
          </w:tcPr>
          <w:p>
            <w:pPr>
              <w:pStyle w:val="0"/>
            </w:pPr>
            <w:r>
              <w:rPr>
                <w:sz w:val="20"/>
              </w:rPr>
            </w:r>
          </w:p>
        </w:tc>
        <w:tc>
          <w:tcPr>
            <w:tcW w:w="1417" w:type="dxa"/>
            <w:vMerge w:val="restart"/>
          </w:tcPr>
          <w:p>
            <w:pPr>
              <w:pStyle w:val="0"/>
            </w:pPr>
            <w:r>
              <w:rPr>
                <w:sz w:val="20"/>
              </w:rPr>
            </w:r>
          </w:p>
        </w:tc>
        <w:tc>
          <w:tcPr>
            <w:tcW w:w="680" w:type="dxa"/>
            <w:vMerge w:val="restart"/>
          </w:tcPr>
          <w:p>
            <w:pPr>
              <w:pStyle w:val="0"/>
            </w:pPr>
            <w:r>
              <w:rPr>
                <w:sz w:val="20"/>
              </w:rPr>
            </w:r>
          </w:p>
        </w:tc>
        <w:tc>
          <w:tcPr>
            <w:tcW w:w="1587" w:type="dxa"/>
            <w:vMerge w:val="restart"/>
          </w:tcPr>
          <w:p>
            <w:pPr>
              <w:pStyle w:val="0"/>
            </w:pPr>
            <w:r>
              <w:rPr>
                <w:sz w:val="20"/>
              </w:rPr>
            </w:r>
          </w:p>
        </w:tc>
      </w:tr>
      <w:tr>
        <w:tc>
          <w:tcPr>
            <w:tcBorders>
              <w:left w:val="nil"/>
            </w:tcBorders>
            <w:vMerge w:val="continue"/>
          </w:tcPr>
          <w:p/>
        </w:tc>
        <w:tc>
          <w:tcPr>
            <w:vMerge w:val="continue"/>
          </w:tcPr>
          <w:p/>
        </w:tc>
        <w:tc>
          <w:tcPr>
            <w:tcW w:w="850" w:type="dxa"/>
          </w:tcPr>
          <w:p>
            <w:pPr>
              <w:pStyle w:val="0"/>
              <w:jc w:val="center"/>
            </w:pPr>
            <w:r>
              <w:rPr>
                <w:sz w:val="20"/>
              </w:rPr>
              <w:t xml:space="preserve">в том числе:</w:t>
            </w:r>
          </w:p>
        </w:tc>
        <w:tc>
          <w:tcPr>
            <w:tcW w:w="850" w:type="dxa"/>
          </w:tcPr>
          <w:p>
            <w:pPr>
              <w:pStyle w:val="0"/>
            </w:pPr>
            <w:r>
              <w:rPr>
                <w:sz w:val="20"/>
              </w:rPr>
            </w:r>
          </w:p>
        </w:tc>
        <w:tc>
          <w:tcPr>
            <w:tcW w:w="907" w:type="dxa"/>
          </w:tcPr>
          <w:p>
            <w:pPr>
              <w:pStyle w:val="0"/>
            </w:pPr>
            <w:r>
              <w:rPr>
                <w:sz w:val="20"/>
              </w:rPr>
            </w:r>
          </w:p>
        </w:tc>
        <w:tc>
          <w:tcPr>
            <w:tcW w:w="737" w:type="dxa"/>
          </w:tcPr>
          <w:p>
            <w:pPr>
              <w:pStyle w:val="0"/>
              <w:jc w:val="both"/>
            </w:pPr>
            <w:r>
              <w:rPr>
                <w:sz w:val="20"/>
              </w:rPr>
            </w:r>
          </w:p>
        </w:tc>
        <w:tc>
          <w:tcPr>
            <w:tcW w:w="737" w:type="dxa"/>
          </w:tcPr>
          <w:p>
            <w:pPr>
              <w:pStyle w:val="0"/>
              <w:jc w:val="center"/>
            </w:pPr>
            <w:r>
              <w:rPr>
                <w:sz w:val="20"/>
              </w:rPr>
              <w:t xml:space="preserve">0101</w:t>
            </w:r>
          </w:p>
        </w:tc>
        <w:tc>
          <w:tcPr>
            <w:tcW w:w="794" w:type="dxa"/>
          </w:tcPr>
          <w:p>
            <w:pPr>
              <w:pStyle w:val="0"/>
              <w:jc w:val="center"/>
            </w:pPr>
            <w:r>
              <w:rPr>
                <w:sz w:val="20"/>
              </w:rPr>
              <w:t xml:space="preserve">x</w:t>
            </w:r>
          </w:p>
        </w:tc>
        <w:tc>
          <w:tcPr>
            <w:tcW w:w="794" w:type="dxa"/>
          </w:tcPr>
          <w:p>
            <w:pPr>
              <w:pStyle w:val="0"/>
              <w:jc w:val="center"/>
            </w:pPr>
            <w:r>
              <w:rPr>
                <w:sz w:val="20"/>
              </w:rPr>
              <w:t xml:space="preserve">x</w:t>
            </w:r>
          </w:p>
        </w:tc>
        <w:tc>
          <w:tcPr>
            <w:vMerge w:val="continue"/>
          </w:tcPr>
          <w:p/>
        </w:tc>
        <w:tc>
          <w:tcPr>
            <w:vMerge w:val="continue"/>
          </w:tcPr>
          <w:p/>
        </w:tc>
        <w:tc>
          <w:tcPr>
            <w:tcW w:w="850" w:type="dxa"/>
          </w:tcPr>
          <w:p>
            <w:pPr>
              <w:pStyle w:val="0"/>
            </w:pPr>
            <w:r>
              <w:rPr>
                <w:sz w:val="20"/>
              </w:rPr>
            </w:r>
          </w:p>
        </w:tc>
        <w:tc>
          <w:tcPr>
            <w:tcW w:w="1077" w:type="dxa"/>
          </w:tcPr>
          <w:p>
            <w:pPr>
              <w:pStyle w:val="0"/>
            </w:pPr>
            <w:r>
              <w:rPr>
                <w:sz w:val="20"/>
              </w:rPr>
            </w:r>
          </w:p>
        </w:tc>
        <w:tc>
          <w:tcPr>
            <w:tcW w:w="850" w:type="dxa"/>
          </w:tcPr>
          <w:p>
            <w:pPr>
              <w:pStyle w:val="0"/>
              <w:jc w:val="center"/>
            </w:pPr>
            <w:r>
              <w:rPr>
                <w:sz w:val="20"/>
              </w:rPr>
              <w:t xml:space="preserve">x</w:t>
            </w:r>
          </w:p>
        </w:tc>
        <w:tc>
          <w:tcPr>
            <w:tcW w:w="737" w:type="dxa"/>
          </w:tcPr>
          <w:p>
            <w:pPr>
              <w:pStyle w:val="0"/>
              <w:jc w:val="center"/>
            </w:pPr>
            <w:r>
              <w:rPr>
                <w:sz w:val="20"/>
              </w:rPr>
              <w:t xml:space="preserve">x</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Borders>
              <w:left w:val="nil"/>
            </w:tcBorders>
            <w:vMerge w:val="continue"/>
          </w:tcPr>
          <w:p/>
        </w:tc>
        <w:tc>
          <w:tcPr>
            <w:vMerge w:val="continue"/>
          </w:tcPr>
          <w:p/>
        </w:tc>
        <w:tc>
          <w:tcPr>
            <w:tcW w:w="850"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37" w:type="dxa"/>
          </w:tcPr>
          <w:p>
            <w:pPr>
              <w:pStyle w:val="0"/>
              <w:jc w:val="both"/>
            </w:pPr>
            <w:r>
              <w:rPr>
                <w:sz w:val="20"/>
              </w:rPr>
            </w:r>
          </w:p>
        </w:tc>
        <w:tc>
          <w:tcPr>
            <w:tcW w:w="737" w:type="dxa"/>
          </w:tcPr>
          <w:p>
            <w:pPr>
              <w:pStyle w:val="0"/>
            </w:pPr>
            <w:r>
              <w:rPr>
                <w:sz w:val="20"/>
              </w:rPr>
            </w:r>
          </w:p>
        </w:tc>
        <w:tc>
          <w:tcPr>
            <w:tcW w:w="794" w:type="dxa"/>
          </w:tcPr>
          <w:p>
            <w:pPr>
              <w:pStyle w:val="0"/>
              <w:jc w:val="center"/>
            </w:pPr>
            <w:r>
              <w:rPr>
                <w:sz w:val="20"/>
              </w:rPr>
              <w:t xml:space="preserve">x</w:t>
            </w:r>
          </w:p>
        </w:tc>
        <w:tc>
          <w:tcPr>
            <w:tcW w:w="794" w:type="dxa"/>
          </w:tcPr>
          <w:p>
            <w:pPr>
              <w:pStyle w:val="0"/>
              <w:jc w:val="center"/>
            </w:pPr>
            <w:r>
              <w:rPr>
                <w:sz w:val="20"/>
              </w:rPr>
              <w:t xml:space="preserve">x</w:t>
            </w:r>
          </w:p>
        </w:tc>
        <w:tc>
          <w:tcPr>
            <w:vMerge w:val="continue"/>
          </w:tcPr>
          <w:p/>
        </w:tc>
        <w:tc>
          <w:tcPr>
            <w:vMerge w:val="continue"/>
          </w:tcPr>
          <w:p/>
        </w:tc>
        <w:tc>
          <w:tcPr>
            <w:tcW w:w="850" w:type="dxa"/>
          </w:tcPr>
          <w:p>
            <w:pPr>
              <w:pStyle w:val="0"/>
            </w:pPr>
            <w:r>
              <w:rPr>
                <w:sz w:val="20"/>
              </w:rPr>
            </w:r>
          </w:p>
        </w:tc>
        <w:tc>
          <w:tcPr>
            <w:tcW w:w="1077" w:type="dxa"/>
          </w:tcPr>
          <w:p>
            <w:pPr>
              <w:pStyle w:val="0"/>
            </w:pPr>
            <w:r>
              <w:rPr>
                <w:sz w:val="20"/>
              </w:rPr>
            </w:r>
          </w:p>
        </w:tc>
        <w:tc>
          <w:tcPr>
            <w:tcW w:w="850" w:type="dxa"/>
          </w:tcPr>
          <w:p>
            <w:pPr>
              <w:pStyle w:val="0"/>
              <w:jc w:val="center"/>
            </w:pPr>
            <w:r>
              <w:rPr>
                <w:sz w:val="20"/>
              </w:rPr>
              <w:t xml:space="preserve">x</w:t>
            </w:r>
          </w:p>
        </w:tc>
        <w:tc>
          <w:tcPr>
            <w:tcW w:w="737" w:type="dxa"/>
          </w:tcPr>
          <w:p>
            <w:pPr>
              <w:pStyle w:val="0"/>
              <w:jc w:val="center"/>
            </w:pPr>
            <w:r>
              <w:rPr>
                <w:sz w:val="20"/>
              </w:rPr>
              <w:t xml:space="preserve">x</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Borders>
              <w:left w:val="nil"/>
            </w:tcBorders>
            <w:vMerge w:val="continue"/>
          </w:tcPr>
          <w:p/>
        </w:tc>
        <w:tc>
          <w:tcPr>
            <w:vMerge w:val="continue"/>
          </w:tcPr>
          <w:p/>
        </w:tc>
        <w:tc>
          <w:tcPr>
            <w:tcW w:w="850"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37" w:type="dxa"/>
          </w:tcPr>
          <w:p>
            <w:pPr>
              <w:pStyle w:val="0"/>
              <w:jc w:val="both"/>
            </w:pPr>
            <w:r>
              <w:rPr>
                <w:sz w:val="20"/>
              </w:rPr>
            </w:r>
          </w:p>
        </w:tc>
        <w:tc>
          <w:tcPr>
            <w:tcW w:w="737" w:type="dxa"/>
          </w:tcPr>
          <w:p>
            <w:pPr>
              <w:pStyle w:val="0"/>
              <w:jc w:val="center"/>
            </w:pPr>
            <w:r>
              <w:rPr>
                <w:sz w:val="20"/>
              </w:rPr>
              <w:t xml:space="preserve">0200</w:t>
            </w:r>
          </w:p>
        </w:tc>
        <w:tc>
          <w:tcPr>
            <w:tcW w:w="794" w:type="dxa"/>
          </w:tcPr>
          <w:p>
            <w:pPr>
              <w:pStyle w:val="0"/>
            </w:pPr>
            <w:r>
              <w:rPr>
                <w:sz w:val="20"/>
              </w:rPr>
            </w:r>
          </w:p>
        </w:tc>
        <w:tc>
          <w:tcPr>
            <w:tcW w:w="794" w:type="dxa"/>
          </w:tcPr>
          <w:p>
            <w:pPr>
              <w:pStyle w:val="0"/>
            </w:pPr>
            <w:r>
              <w:rPr>
                <w:sz w:val="20"/>
              </w:rPr>
            </w:r>
          </w:p>
        </w:tc>
        <w:tc>
          <w:tcPr>
            <w:tcW w:w="686" w:type="dxa"/>
            <w:vMerge w:val="restart"/>
          </w:tcPr>
          <w:p>
            <w:pPr>
              <w:pStyle w:val="0"/>
            </w:pPr>
            <w:r>
              <w:rPr>
                <w:sz w:val="20"/>
              </w:rPr>
            </w:r>
          </w:p>
        </w:tc>
        <w:tc>
          <w:tcPr>
            <w:tcW w:w="1247" w:type="dxa"/>
            <w:vMerge w:val="restart"/>
          </w:tcPr>
          <w:p>
            <w:pPr>
              <w:pStyle w:val="0"/>
            </w:pPr>
            <w:r>
              <w:rPr>
                <w:sz w:val="20"/>
              </w:rPr>
            </w:r>
          </w:p>
        </w:tc>
        <w:tc>
          <w:tcPr>
            <w:tcW w:w="850"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737" w:type="dxa"/>
          </w:tcPr>
          <w:p>
            <w:pPr>
              <w:pStyle w:val="0"/>
            </w:pPr>
            <w:r>
              <w:rPr>
                <w:sz w:val="20"/>
              </w:rPr>
            </w:r>
          </w:p>
        </w:tc>
        <w:tc>
          <w:tcPr>
            <w:tcW w:w="638" w:type="dxa"/>
            <w:vMerge w:val="restart"/>
          </w:tcPr>
          <w:p>
            <w:pPr>
              <w:pStyle w:val="0"/>
            </w:pPr>
            <w:r>
              <w:rPr>
                <w:sz w:val="20"/>
              </w:rPr>
            </w:r>
          </w:p>
        </w:tc>
        <w:tc>
          <w:tcPr>
            <w:tcW w:w="1474" w:type="dxa"/>
            <w:vMerge w:val="restart"/>
          </w:tcPr>
          <w:p>
            <w:pPr>
              <w:pStyle w:val="0"/>
            </w:pPr>
            <w:r>
              <w:rPr>
                <w:sz w:val="20"/>
              </w:rPr>
            </w:r>
          </w:p>
        </w:tc>
        <w:tc>
          <w:tcPr>
            <w:tcW w:w="586" w:type="dxa"/>
            <w:vMerge w:val="restart"/>
          </w:tcPr>
          <w:p>
            <w:pPr>
              <w:pStyle w:val="0"/>
            </w:pPr>
            <w:r>
              <w:rPr>
                <w:sz w:val="20"/>
              </w:rPr>
            </w:r>
          </w:p>
        </w:tc>
        <w:tc>
          <w:tcPr>
            <w:tcW w:w="1417" w:type="dxa"/>
            <w:vMerge w:val="restart"/>
          </w:tcPr>
          <w:p>
            <w:pPr>
              <w:pStyle w:val="0"/>
            </w:pPr>
            <w:r>
              <w:rPr>
                <w:sz w:val="20"/>
              </w:rPr>
            </w:r>
          </w:p>
        </w:tc>
        <w:tc>
          <w:tcPr>
            <w:tcW w:w="680" w:type="dxa"/>
            <w:vMerge w:val="restart"/>
          </w:tcPr>
          <w:p>
            <w:pPr>
              <w:pStyle w:val="0"/>
            </w:pPr>
            <w:r>
              <w:rPr>
                <w:sz w:val="20"/>
              </w:rPr>
            </w:r>
          </w:p>
        </w:tc>
        <w:tc>
          <w:tcPr>
            <w:tcW w:w="1587" w:type="dxa"/>
            <w:vMerge w:val="restart"/>
          </w:tcPr>
          <w:p>
            <w:pPr>
              <w:pStyle w:val="0"/>
            </w:pPr>
            <w:r>
              <w:rPr>
                <w:sz w:val="20"/>
              </w:rPr>
            </w:r>
          </w:p>
        </w:tc>
      </w:tr>
      <w:tr>
        <w:tc>
          <w:tcPr>
            <w:tcBorders>
              <w:left w:val="nil"/>
            </w:tcBorders>
            <w:vMerge w:val="continue"/>
          </w:tcPr>
          <w:p/>
        </w:tc>
        <w:tc>
          <w:tcPr>
            <w:vMerge w:val="continue"/>
          </w:tcPr>
          <w:p/>
        </w:tc>
        <w:tc>
          <w:tcPr>
            <w:tcW w:w="850" w:type="dxa"/>
          </w:tcPr>
          <w:p>
            <w:pPr>
              <w:pStyle w:val="0"/>
              <w:jc w:val="center"/>
            </w:pPr>
            <w:r>
              <w:rPr>
                <w:sz w:val="20"/>
              </w:rPr>
              <w:t xml:space="preserve">в том числе:</w:t>
            </w:r>
          </w:p>
        </w:tc>
        <w:tc>
          <w:tcPr>
            <w:tcW w:w="850" w:type="dxa"/>
          </w:tcPr>
          <w:p>
            <w:pPr>
              <w:pStyle w:val="0"/>
            </w:pPr>
            <w:r>
              <w:rPr>
                <w:sz w:val="20"/>
              </w:rPr>
            </w:r>
          </w:p>
        </w:tc>
        <w:tc>
          <w:tcPr>
            <w:tcW w:w="907" w:type="dxa"/>
          </w:tcPr>
          <w:p>
            <w:pPr>
              <w:pStyle w:val="0"/>
            </w:pPr>
            <w:r>
              <w:rPr>
                <w:sz w:val="20"/>
              </w:rPr>
            </w:r>
          </w:p>
        </w:tc>
        <w:tc>
          <w:tcPr>
            <w:tcW w:w="737" w:type="dxa"/>
          </w:tcPr>
          <w:p>
            <w:pPr>
              <w:pStyle w:val="0"/>
              <w:jc w:val="both"/>
            </w:pPr>
            <w:r>
              <w:rPr>
                <w:sz w:val="20"/>
              </w:rPr>
            </w:r>
          </w:p>
        </w:tc>
        <w:tc>
          <w:tcPr>
            <w:tcW w:w="737" w:type="dxa"/>
          </w:tcPr>
          <w:p>
            <w:pPr>
              <w:pStyle w:val="0"/>
              <w:jc w:val="center"/>
            </w:pPr>
            <w:r>
              <w:rPr>
                <w:sz w:val="20"/>
              </w:rPr>
              <w:t xml:space="preserve">0201</w:t>
            </w:r>
          </w:p>
        </w:tc>
        <w:tc>
          <w:tcPr>
            <w:tcW w:w="794" w:type="dxa"/>
          </w:tcPr>
          <w:p>
            <w:pPr>
              <w:pStyle w:val="0"/>
              <w:jc w:val="center"/>
            </w:pPr>
            <w:r>
              <w:rPr>
                <w:sz w:val="20"/>
              </w:rPr>
              <w:t xml:space="preserve">x</w:t>
            </w:r>
          </w:p>
        </w:tc>
        <w:tc>
          <w:tcPr>
            <w:tcW w:w="794" w:type="dxa"/>
          </w:tcPr>
          <w:p>
            <w:pPr>
              <w:pStyle w:val="0"/>
              <w:jc w:val="center"/>
            </w:pPr>
            <w:r>
              <w:rPr>
                <w:sz w:val="20"/>
              </w:rPr>
              <w:t xml:space="preserve">x</w:t>
            </w:r>
          </w:p>
        </w:tc>
        <w:tc>
          <w:tcPr>
            <w:vMerge w:val="continue"/>
          </w:tcPr>
          <w:p/>
        </w:tc>
        <w:tc>
          <w:tcPr>
            <w:vMerge w:val="continue"/>
          </w:tcPr>
          <w:p/>
        </w:tc>
        <w:tc>
          <w:tcPr>
            <w:tcW w:w="850" w:type="dxa"/>
          </w:tcPr>
          <w:p>
            <w:pPr>
              <w:pStyle w:val="0"/>
            </w:pPr>
            <w:r>
              <w:rPr>
                <w:sz w:val="20"/>
              </w:rPr>
            </w:r>
          </w:p>
        </w:tc>
        <w:tc>
          <w:tcPr>
            <w:tcW w:w="1077" w:type="dxa"/>
          </w:tcPr>
          <w:p>
            <w:pPr>
              <w:pStyle w:val="0"/>
            </w:pPr>
            <w:r>
              <w:rPr>
                <w:sz w:val="20"/>
              </w:rPr>
            </w:r>
          </w:p>
        </w:tc>
        <w:tc>
          <w:tcPr>
            <w:tcW w:w="850" w:type="dxa"/>
          </w:tcPr>
          <w:p>
            <w:pPr>
              <w:pStyle w:val="0"/>
              <w:jc w:val="center"/>
            </w:pPr>
            <w:r>
              <w:rPr>
                <w:sz w:val="20"/>
              </w:rPr>
              <w:t xml:space="preserve">x</w:t>
            </w:r>
          </w:p>
        </w:tc>
        <w:tc>
          <w:tcPr>
            <w:tcW w:w="737" w:type="dxa"/>
          </w:tcPr>
          <w:p>
            <w:pPr>
              <w:pStyle w:val="0"/>
              <w:jc w:val="center"/>
            </w:pPr>
            <w:r>
              <w:rPr>
                <w:sz w:val="20"/>
              </w:rPr>
              <w:t xml:space="preserve">x</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Borders>
              <w:left w:val="nil"/>
            </w:tcBorders>
            <w:vMerge w:val="continue"/>
          </w:tcPr>
          <w:p/>
        </w:tc>
        <w:tc>
          <w:tcPr>
            <w:vMerge w:val="continue"/>
          </w:tcPr>
          <w:p/>
        </w:tc>
        <w:tc>
          <w:tcPr>
            <w:tcW w:w="850"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37" w:type="dxa"/>
          </w:tcPr>
          <w:p>
            <w:pPr>
              <w:pStyle w:val="0"/>
              <w:jc w:val="both"/>
            </w:pPr>
            <w:r>
              <w:rPr>
                <w:sz w:val="20"/>
              </w:rPr>
            </w:r>
          </w:p>
        </w:tc>
        <w:tc>
          <w:tcPr>
            <w:tcW w:w="737" w:type="dxa"/>
          </w:tcPr>
          <w:p>
            <w:pPr>
              <w:pStyle w:val="0"/>
            </w:pPr>
            <w:r>
              <w:rPr>
                <w:sz w:val="20"/>
              </w:rPr>
            </w:r>
          </w:p>
        </w:tc>
        <w:tc>
          <w:tcPr>
            <w:tcW w:w="794" w:type="dxa"/>
          </w:tcPr>
          <w:p>
            <w:pPr>
              <w:pStyle w:val="0"/>
              <w:jc w:val="center"/>
            </w:pPr>
            <w:r>
              <w:rPr>
                <w:sz w:val="20"/>
              </w:rPr>
              <w:t xml:space="preserve">x</w:t>
            </w:r>
          </w:p>
        </w:tc>
        <w:tc>
          <w:tcPr>
            <w:tcW w:w="794" w:type="dxa"/>
          </w:tcPr>
          <w:p>
            <w:pPr>
              <w:pStyle w:val="0"/>
              <w:jc w:val="center"/>
            </w:pPr>
            <w:r>
              <w:rPr>
                <w:sz w:val="20"/>
              </w:rPr>
              <w:t xml:space="preserve">x</w:t>
            </w:r>
          </w:p>
        </w:tc>
        <w:tc>
          <w:tcPr>
            <w:vMerge w:val="continue"/>
          </w:tcPr>
          <w:p/>
        </w:tc>
        <w:tc>
          <w:tcPr>
            <w:vMerge w:val="continue"/>
          </w:tcPr>
          <w:p/>
        </w:tc>
        <w:tc>
          <w:tcPr>
            <w:tcW w:w="850" w:type="dxa"/>
          </w:tcPr>
          <w:p>
            <w:pPr>
              <w:pStyle w:val="0"/>
            </w:pPr>
            <w:r>
              <w:rPr>
                <w:sz w:val="20"/>
              </w:rPr>
            </w:r>
          </w:p>
        </w:tc>
        <w:tc>
          <w:tcPr>
            <w:tcW w:w="1077" w:type="dxa"/>
          </w:tcPr>
          <w:p>
            <w:pPr>
              <w:pStyle w:val="0"/>
            </w:pPr>
            <w:r>
              <w:rPr>
                <w:sz w:val="20"/>
              </w:rPr>
            </w:r>
          </w:p>
        </w:tc>
        <w:tc>
          <w:tcPr>
            <w:tcW w:w="850" w:type="dxa"/>
          </w:tcPr>
          <w:p>
            <w:pPr>
              <w:pStyle w:val="0"/>
              <w:jc w:val="center"/>
            </w:pPr>
            <w:r>
              <w:rPr>
                <w:sz w:val="20"/>
              </w:rPr>
              <w:t xml:space="preserve">x</w:t>
            </w:r>
          </w:p>
        </w:tc>
        <w:tc>
          <w:tcPr>
            <w:tcW w:w="737" w:type="dxa"/>
          </w:tcPr>
          <w:p>
            <w:pPr>
              <w:pStyle w:val="0"/>
              <w:jc w:val="center"/>
            </w:pPr>
            <w:r>
              <w:rPr>
                <w:sz w:val="20"/>
              </w:rPr>
              <w:t xml:space="preserve">x</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907" w:type="dxa"/>
            <w:tcBorders>
              <w:left w:val="nil"/>
            </w:tcBorders>
            <w:vMerge w:val="restart"/>
          </w:tcPr>
          <w:p>
            <w:pPr>
              <w:pStyle w:val="0"/>
            </w:pPr>
            <w:r>
              <w:rPr>
                <w:sz w:val="20"/>
              </w:rPr>
            </w:r>
          </w:p>
        </w:tc>
        <w:tc>
          <w:tcPr>
            <w:tcW w:w="737" w:type="dxa"/>
            <w:vMerge w:val="restart"/>
          </w:tcPr>
          <w:p>
            <w:pPr>
              <w:pStyle w:val="0"/>
            </w:pPr>
            <w:r>
              <w:rPr>
                <w:sz w:val="20"/>
              </w:rPr>
            </w:r>
          </w:p>
        </w:tc>
        <w:tc>
          <w:tcPr>
            <w:tcW w:w="850"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37" w:type="dxa"/>
          </w:tcPr>
          <w:p>
            <w:pPr>
              <w:pStyle w:val="0"/>
              <w:jc w:val="both"/>
            </w:pPr>
            <w:r>
              <w:rPr>
                <w:sz w:val="20"/>
              </w:rPr>
            </w:r>
          </w:p>
        </w:tc>
        <w:tc>
          <w:tcPr>
            <w:tcW w:w="737" w:type="dxa"/>
          </w:tcPr>
          <w:p>
            <w:pPr>
              <w:pStyle w:val="0"/>
              <w:jc w:val="center"/>
            </w:pPr>
            <w:r>
              <w:rPr>
                <w:sz w:val="20"/>
              </w:rPr>
              <w:t xml:space="preserve">0300</w:t>
            </w:r>
          </w:p>
        </w:tc>
        <w:tc>
          <w:tcPr>
            <w:tcW w:w="794" w:type="dxa"/>
          </w:tcPr>
          <w:p>
            <w:pPr>
              <w:pStyle w:val="0"/>
            </w:pPr>
            <w:r>
              <w:rPr>
                <w:sz w:val="20"/>
              </w:rPr>
            </w:r>
          </w:p>
        </w:tc>
        <w:tc>
          <w:tcPr>
            <w:tcW w:w="794" w:type="dxa"/>
          </w:tcPr>
          <w:p>
            <w:pPr>
              <w:pStyle w:val="0"/>
            </w:pPr>
            <w:r>
              <w:rPr>
                <w:sz w:val="20"/>
              </w:rPr>
            </w:r>
          </w:p>
        </w:tc>
        <w:tc>
          <w:tcPr>
            <w:tcW w:w="686" w:type="dxa"/>
            <w:vMerge w:val="restart"/>
          </w:tcPr>
          <w:p>
            <w:pPr>
              <w:pStyle w:val="0"/>
            </w:pPr>
            <w:r>
              <w:rPr>
                <w:sz w:val="20"/>
              </w:rPr>
            </w:r>
          </w:p>
        </w:tc>
        <w:tc>
          <w:tcPr>
            <w:tcW w:w="1247" w:type="dxa"/>
            <w:vMerge w:val="restart"/>
          </w:tcPr>
          <w:p>
            <w:pPr>
              <w:pStyle w:val="0"/>
            </w:pPr>
            <w:r>
              <w:rPr>
                <w:sz w:val="20"/>
              </w:rPr>
            </w:r>
          </w:p>
        </w:tc>
        <w:tc>
          <w:tcPr>
            <w:tcW w:w="850"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737" w:type="dxa"/>
          </w:tcPr>
          <w:p>
            <w:pPr>
              <w:pStyle w:val="0"/>
            </w:pPr>
            <w:r>
              <w:rPr>
                <w:sz w:val="20"/>
              </w:rPr>
            </w:r>
          </w:p>
        </w:tc>
        <w:tc>
          <w:tcPr>
            <w:tcW w:w="638" w:type="dxa"/>
            <w:vMerge w:val="restart"/>
          </w:tcPr>
          <w:p>
            <w:pPr>
              <w:pStyle w:val="0"/>
            </w:pPr>
            <w:r>
              <w:rPr>
                <w:sz w:val="20"/>
              </w:rPr>
            </w:r>
          </w:p>
        </w:tc>
        <w:tc>
          <w:tcPr>
            <w:tcW w:w="1474" w:type="dxa"/>
            <w:vMerge w:val="restart"/>
          </w:tcPr>
          <w:p>
            <w:pPr>
              <w:pStyle w:val="0"/>
            </w:pPr>
            <w:r>
              <w:rPr>
                <w:sz w:val="20"/>
              </w:rPr>
            </w:r>
          </w:p>
        </w:tc>
        <w:tc>
          <w:tcPr>
            <w:tcW w:w="586" w:type="dxa"/>
            <w:vMerge w:val="restart"/>
          </w:tcPr>
          <w:p>
            <w:pPr>
              <w:pStyle w:val="0"/>
            </w:pPr>
            <w:r>
              <w:rPr>
                <w:sz w:val="20"/>
              </w:rPr>
            </w:r>
          </w:p>
        </w:tc>
        <w:tc>
          <w:tcPr>
            <w:tcW w:w="1417" w:type="dxa"/>
            <w:vMerge w:val="restart"/>
          </w:tcPr>
          <w:p>
            <w:pPr>
              <w:pStyle w:val="0"/>
            </w:pPr>
            <w:r>
              <w:rPr>
                <w:sz w:val="20"/>
              </w:rPr>
            </w:r>
          </w:p>
        </w:tc>
        <w:tc>
          <w:tcPr>
            <w:tcW w:w="680" w:type="dxa"/>
            <w:vMerge w:val="restart"/>
          </w:tcPr>
          <w:p>
            <w:pPr>
              <w:pStyle w:val="0"/>
            </w:pPr>
            <w:r>
              <w:rPr>
                <w:sz w:val="20"/>
              </w:rPr>
            </w:r>
          </w:p>
        </w:tc>
        <w:tc>
          <w:tcPr>
            <w:tcW w:w="1587" w:type="dxa"/>
            <w:vMerge w:val="restart"/>
          </w:tcPr>
          <w:p>
            <w:pPr>
              <w:pStyle w:val="0"/>
            </w:pPr>
            <w:r>
              <w:rPr>
                <w:sz w:val="20"/>
              </w:rPr>
            </w:r>
          </w:p>
        </w:tc>
      </w:tr>
      <w:tr>
        <w:tc>
          <w:tcPr>
            <w:tcBorders>
              <w:left w:val="nil"/>
            </w:tcBorders>
            <w:vMerge w:val="continue"/>
          </w:tcPr>
          <w:p/>
        </w:tc>
        <w:tc>
          <w:tcPr>
            <w:vMerge w:val="continue"/>
          </w:tcPr>
          <w:p/>
        </w:tc>
        <w:tc>
          <w:tcPr>
            <w:tcW w:w="850" w:type="dxa"/>
          </w:tcPr>
          <w:p>
            <w:pPr>
              <w:pStyle w:val="0"/>
              <w:jc w:val="center"/>
            </w:pPr>
            <w:r>
              <w:rPr>
                <w:sz w:val="20"/>
              </w:rPr>
              <w:t xml:space="preserve">в том числе:</w:t>
            </w:r>
          </w:p>
        </w:tc>
        <w:tc>
          <w:tcPr>
            <w:tcW w:w="850" w:type="dxa"/>
          </w:tcPr>
          <w:p>
            <w:pPr>
              <w:pStyle w:val="0"/>
            </w:pPr>
            <w:r>
              <w:rPr>
                <w:sz w:val="20"/>
              </w:rPr>
            </w:r>
          </w:p>
        </w:tc>
        <w:tc>
          <w:tcPr>
            <w:tcW w:w="907" w:type="dxa"/>
          </w:tcPr>
          <w:p>
            <w:pPr>
              <w:pStyle w:val="0"/>
            </w:pPr>
            <w:r>
              <w:rPr>
                <w:sz w:val="20"/>
              </w:rPr>
            </w:r>
          </w:p>
        </w:tc>
        <w:tc>
          <w:tcPr>
            <w:tcW w:w="737" w:type="dxa"/>
          </w:tcPr>
          <w:p>
            <w:pPr>
              <w:pStyle w:val="0"/>
              <w:jc w:val="both"/>
            </w:pPr>
            <w:r>
              <w:rPr>
                <w:sz w:val="20"/>
              </w:rPr>
            </w:r>
          </w:p>
        </w:tc>
        <w:tc>
          <w:tcPr>
            <w:tcW w:w="737" w:type="dxa"/>
          </w:tcPr>
          <w:p>
            <w:pPr>
              <w:pStyle w:val="0"/>
              <w:jc w:val="center"/>
            </w:pPr>
            <w:r>
              <w:rPr>
                <w:sz w:val="20"/>
              </w:rPr>
              <w:t xml:space="preserve">0301</w:t>
            </w:r>
          </w:p>
        </w:tc>
        <w:tc>
          <w:tcPr>
            <w:tcW w:w="794" w:type="dxa"/>
          </w:tcPr>
          <w:p>
            <w:pPr>
              <w:pStyle w:val="0"/>
              <w:jc w:val="center"/>
            </w:pPr>
            <w:r>
              <w:rPr>
                <w:sz w:val="20"/>
              </w:rPr>
              <w:t xml:space="preserve">x</w:t>
            </w:r>
          </w:p>
        </w:tc>
        <w:tc>
          <w:tcPr>
            <w:tcW w:w="794" w:type="dxa"/>
          </w:tcPr>
          <w:p>
            <w:pPr>
              <w:pStyle w:val="0"/>
              <w:jc w:val="center"/>
            </w:pPr>
            <w:r>
              <w:rPr>
                <w:sz w:val="20"/>
              </w:rPr>
              <w:t xml:space="preserve">x</w:t>
            </w:r>
          </w:p>
        </w:tc>
        <w:tc>
          <w:tcPr>
            <w:vMerge w:val="continue"/>
          </w:tcPr>
          <w:p/>
        </w:tc>
        <w:tc>
          <w:tcPr>
            <w:vMerge w:val="continue"/>
          </w:tcPr>
          <w:p/>
        </w:tc>
        <w:tc>
          <w:tcPr>
            <w:tcW w:w="850" w:type="dxa"/>
          </w:tcPr>
          <w:p>
            <w:pPr>
              <w:pStyle w:val="0"/>
            </w:pPr>
            <w:r>
              <w:rPr>
                <w:sz w:val="20"/>
              </w:rPr>
            </w:r>
          </w:p>
        </w:tc>
        <w:tc>
          <w:tcPr>
            <w:tcW w:w="1077" w:type="dxa"/>
          </w:tcPr>
          <w:p>
            <w:pPr>
              <w:pStyle w:val="0"/>
            </w:pPr>
            <w:r>
              <w:rPr>
                <w:sz w:val="20"/>
              </w:rPr>
            </w:r>
          </w:p>
        </w:tc>
        <w:tc>
          <w:tcPr>
            <w:tcW w:w="850" w:type="dxa"/>
          </w:tcPr>
          <w:p>
            <w:pPr>
              <w:pStyle w:val="0"/>
              <w:jc w:val="center"/>
            </w:pPr>
            <w:r>
              <w:rPr>
                <w:sz w:val="20"/>
              </w:rPr>
              <w:t xml:space="preserve">x</w:t>
            </w:r>
          </w:p>
        </w:tc>
        <w:tc>
          <w:tcPr>
            <w:tcW w:w="737" w:type="dxa"/>
          </w:tcPr>
          <w:p>
            <w:pPr>
              <w:pStyle w:val="0"/>
              <w:jc w:val="center"/>
            </w:pPr>
            <w:r>
              <w:rPr>
                <w:sz w:val="20"/>
              </w:rPr>
              <w:t xml:space="preserve">x</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Borders>
              <w:left w:val="nil"/>
            </w:tcBorders>
            <w:vMerge w:val="continue"/>
          </w:tcPr>
          <w:p/>
        </w:tc>
        <w:tc>
          <w:tcPr>
            <w:vMerge w:val="continue"/>
          </w:tcPr>
          <w:p/>
        </w:tc>
        <w:tc>
          <w:tcPr>
            <w:tcW w:w="850"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37" w:type="dxa"/>
          </w:tcPr>
          <w:p>
            <w:pPr>
              <w:pStyle w:val="0"/>
              <w:jc w:val="both"/>
            </w:pPr>
            <w:r>
              <w:rPr>
                <w:sz w:val="20"/>
              </w:rPr>
            </w:r>
          </w:p>
        </w:tc>
        <w:tc>
          <w:tcPr>
            <w:tcW w:w="737" w:type="dxa"/>
          </w:tcPr>
          <w:p>
            <w:pPr>
              <w:pStyle w:val="0"/>
            </w:pPr>
            <w:r>
              <w:rPr>
                <w:sz w:val="20"/>
              </w:rPr>
            </w:r>
          </w:p>
        </w:tc>
        <w:tc>
          <w:tcPr>
            <w:tcW w:w="794" w:type="dxa"/>
          </w:tcPr>
          <w:p>
            <w:pPr>
              <w:pStyle w:val="0"/>
              <w:jc w:val="center"/>
            </w:pPr>
            <w:r>
              <w:rPr>
                <w:sz w:val="20"/>
              </w:rPr>
              <w:t xml:space="preserve">x</w:t>
            </w:r>
          </w:p>
        </w:tc>
        <w:tc>
          <w:tcPr>
            <w:tcW w:w="794" w:type="dxa"/>
          </w:tcPr>
          <w:p>
            <w:pPr>
              <w:pStyle w:val="0"/>
              <w:jc w:val="center"/>
            </w:pPr>
            <w:r>
              <w:rPr>
                <w:sz w:val="20"/>
              </w:rPr>
              <w:t xml:space="preserve">x</w:t>
            </w:r>
          </w:p>
        </w:tc>
        <w:tc>
          <w:tcPr>
            <w:vMerge w:val="continue"/>
          </w:tcPr>
          <w:p/>
        </w:tc>
        <w:tc>
          <w:tcPr>
            <w:vMerge w:val="continue"/>
          </w:tcPr>
          <w:p/>
        </w:tc>
        <w:tc>
          <w:tcPr>
            <w:tcW w:w="850" w:type="dxa"/>
          </w:tcPr>
          <w:p>
            <w:pPr>
              <w:pStyle w:val="0"/>
            </w:pPr>
            <w:r>
              <w:rPr>
                <w:sz w:val="20"/>
              </w:rPr>
            </w:r>
          </w:p>
        </w:tc>
        <w:tc>
          <w:tcPr>
            <w:tcW w:w="1077" w:type="dxa"/>
          </w:tcPr>
          <w:p>
            <w:pPr>
              <w:pStyle w:val="0"/>
            </w:pPr>
            <w:r>
              <w:rPr>
                <w:sz w:val="20"/>
              </w:rPr>
            </w:r>
          </w:p>
        </w:tc>
        <w:tc>
          <w:tcPr>
            <w:tcW w:w="850" w:type="dxa"/>
          </w:tcPr>
          <w:p>
            <w:pPr>
              <w:pStyle w:val="0"/>
              <w:jc w:val="center"/>
            </w:pPr>
            <w:r>
              <w:rPr>
                <w:sz w:val="20"/>
              </w:rPr>
              <w:t xml:space="preserve">x</w:t>
            </w:r>
          </w:p>
        </w:tc>
        <w:tc>
          <w:tcPr>
            <w:tcW w:w="737" w:type="dxa"/>
          </w:tcPr>
          <w:p>
            <w:pPr>
              <w:pStyle w:val="0"/>
              <w:jc w:val="center"/>
            </w:pPr>
            <w:r>
              <w:rPr>
                <w:sz w:val="20"/>
              </w:rPr>
              <w:t xml:space="preserve">x</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Borders>
              <w:left w:val="nil"/>
            </w:tcBorders>
            <w:vMerge w:val="continue"/>
          </w:tcPr>
          <w:p/>
        </w:tc>
        <w:tc>
          <w:tcPr>
            <w:vMerge w:val="continue"/>
          </w:tcPr>
          <w:p/>
        </w:tc>
        <w:tc>
          <w:tcPr>
            <w:tcW w:w="850"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37" w:type="dxa"/>
          </w:tcPr>
          <w:p>
            <w:pPr>
              <w:pStyle w:val="0"/>
              <w:jc w:val="both"/>
            </w:pPr>
            <w:r>
              <w:rPr>
                <w:sz w:val="20"/>
              </w:rPr>
            </w:r>
          </w:p>
        </w:tc>
        <w:tc>
          <w:tcPr>
            <w:tcW w:w="737" w:type="dxa"/>
          </w:tcPr>
          <w:p>
            <w:pPr>
              <w:pStyle w:val="0"/>
              <w:jc w:val="center"/>
            </w:pPr>
            <w:r>
              <w:rPr>
                <w:sz w:val="20"/>
              </w:rPr>
              <w:t xml:space="preserve">0400</w:t>
            </w:r>
          </w:p>
        </w:tc>
        <w:tc>
          <w:tcPr>
            <w:tcW w:w="794" w:type="dxa"/>
          </w:tcPr>
          <w:p>
            <w:pPr>
              <w:pStyle w:val="0"/>
            </w:pPr>
            <w:r>
              <w:rPr>
                <w:sz w:val="20"/>
              </w:rPr>
            </w:r>
          </w:p>
        </w:tc>
        <w:tc>
          <w:tcPr>
            <w:tcW w:w="794" w:type="dxa"/>
          </w:tcPr>
          <w:p>
            <w:pPr>
              <w:pStyle w:val="0"/>
            </w:pPr>
            <w:r>
              <w:rPr>
                <w:sz w:val="20"/>
              </w:rPr>
            </w:r>
          </w:p>
        </w:tc>
        <w:tc>
          <w:tcPr>
            <w:tcW w:w="686" w:type="dxa"/>
            <w:vMerge w:val="restart"/>
          </w:tcPr>
          <w:p>
            <w:pPr>
              <w:pStyle w:val="0"/>
            </w:pPr>
            <w:r>
              <w:rPr>
                <w:sz w:val="20"/>
              </w:rPr>
            </w:r>
          </w:p>
        </w:tc>
        <w:tc>
          <w:tcPr>
            <w:tcW w:w="1247" w:type="dxa"/>
            <w:vMerge w:val="restart"/>
          </w:tcPr>
          <w:p>
            <w:pPr>
              <w:pStyle w:val="0"/>
            </w:pPr>
            <w:r>
              <w:rPr>
                <w:sz w:val="20"/>
              </w:rPr>
            </w:r>
          </w:p>
        </w:tc>
        <w:tc>
          <w:tcPr>
            <w:tcW w:w="850"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737" w:type="dxa"/>
          </w:tcPr>
          <w:p>
            <w:pPr>
              <w:pStyle w:val="0"/>
            </w:pPr>
            <w:r>
              <w:rPr>
                <w:sz w:val="20"/>
              </w:rPr>
            </w:r>
          </w:p>
        </w:tc>
        <w:tc>
          <w:tcPr>
            <w:tcW w:w="638" w:type="dxa"/>
            <w:vMerge w:val="restart"/>
          </w:tcPr>
          <w:p>
            <w:pPr>
              <w:pStyle w:val="0"/>
            </w:pPr>
            <w:r>
              <w:rPr>
                <w:sz w:val="20"/>
              </w:rPr>
            </w:r>
          </w:p>
        </w:tc>
        <w:tc>
          <w:tcPr>
            <w:tcW w:w="1474" w:type="dxa"/>
            <w:vMerge w:val="restart"/>
          </w:tcPr>
          <w:p>
            <w:pPr>
              <w:pStyle w:val="0"/>
            </w:pPr>
            <w:r>
              <w:rPr>
                <w:sz w:val="20"/>
              </w:rPr>
            </w:r>
          </w:p>
        </w:tc>
        <w:tc>
          <w:tcPr>
            <w:tcW w:w="586" w:type="dxa"/>
            <w:vMerge w:val="restart"/>
          </w:tcPr>
          <w:p>
            <w:pPr>
              <w:pStyle w:val="0"/>
            </w:pPr>
            <w:r>
              <w:rPr>
                <w:sz w:val="20"/>
              </w:rPr>
            </w:r>
          </w:p>
        </w:tc>
        <w:tc>
          <w:tcPr>
            <w:tcW w:w="1417" w:type="dxa"/>
            <w:vMerge w:val="restart"/>
          </w:tcPr>
          <w:p>
            <w:pPr>
              <w:pStyle w:val="0"/>
            </w:pPr>
            <w:r>
              <w:rPr>
                <w:sz w:val="20"/>
              </w:rPr>
            </w:r>
          </w:p>
        </w:tc>
        <w:tc>
          <w:tcPr>
            <w:tcW w:w="680" w:type="dxa"/>
            <w:vMerge w:val="restart"/>
          </w:tcPr>
          <w:p>
            <w:pPr>
              <w:pStyle w:val="0"/>
            </w:pPr>
            <w:r>
              <w:rPr>
                <w:sz w:val="20"/>
              </w:rPr>
            </w:r>
          </w:p>
        </w:tc>
        <w:tc>
          <w:tcPr>
            <w:tcW w:w="1587" w:type="dxa"/>
            <w:vMerge w:val="restart"/>
          </w:tcPr>
          <w:p>
            <w:pPr>
              <w:pStyle w:val="0"/>
            </w:pPr>
            <w:r>
              <w:rPr>
                <w:sz w:val="20"/>
              </w:rPr>
            </w:r>
          </w:p>
        </w:tc>
      </w:tr>
      <w:tr>
        <w:tc>
          <w:tcPr>
            <w:tcBorders>
              <w:left w:val="nil"/>
            </w:tcBorders>
            <w:vMerge w:val="continue"/>
          </w:tcPr>
          <w:p/>
        </w:tc>
        <w:tc>
          <w:tcPr>
            <w:vMerge w:val="continue"/>
          </w:tcPr>
          <w:p/>
        </w:tc>
        <w:tc>
          <w:tcPr>
            <w:tcW w:w="850" w:type="dxa"/>
          </w:tcPr>
          <w:p>
            <w:pPr>
              <w:pStyle w:val="0"/>
              <w:jc w:val="center"/>
            </w:pPr>
            <w:r>
              <w:rPr>
                <w:sz w:val="20"/>
              </w:rPr>
              <w:t xml:space="preserve">в том числе:</w:t>
            </w:r>
          </w:p>
        </w:tc>
        <w:tc>
          <w:tcPr>
            <w:tcW w:w="850" w:type="dxa"/>
          </w:tcPr>
          <w:p>
            <w:pPr>
              <w:pStyle w:val="0"/>
            </w:pPr>
            <w:r>
              <w:rPr>
                <w:sz w:val="20"/>
              </w:rPr>
            </w:r>
          </w:p>
        </w:tc>
        <w:tc>
          <w:tcPr>
            <w:tcW w:w="907" w:type="dxa"/>
          </w:tcPr>
          <w:p>
            <w:pPr>
              <w:pStyle w:val="0"/>
            </w:pPr>
            <w:r>
              <w:rPr>
                <w:sz w:val="20"/>
              </w:rPr>
            </w:r>
          </w:p>
        </w:tc>
        <w:tc>
          <w:tcPr>
            <w:tcW w:w="737" w:type="dxa"/>
          </w:tcPr>
          <w:p>
            <w:pPr>
              <w:pStyle w:val="0"/>
              <w:jc w:val="both"/>
            </w:pPr>
            <w:r>
              <w:rPr>
                <w:sz w:val="20"/>
              </w:rPr>
            </w:r>
          </w:p>
        </w:tc>
        <w:tc>
          <w:tcPr>
            <w:tcW w:w="737" w:type="dxa"/>
          </w:tcPr>
          <w:p>
            <w:pPr>
              <w:pStyle w:val="0"/>
              <w:jc w:val="center"/>
            </w:pPr>
            <w:r>
              <w:rPr>
                <w:sz w:val="20"/>
              </w:rPr>
              <w:t xml:space="preserve">0401</w:t>
            </w:r>
          </w:p>
        </w:tc>
        <w:tc>
          <w:tcPr>
            <w:tcW w:w="794" w:type="dxa"/>
          </w:tcPr>
          <w:p>
            <w:pPr>
              <w:pStyle w:val="0"/>
              <w:jc w:val="center"/>
            </w:pPr>
            <w:r>
              <w:rPr>
                <w:sz w:val="20"/>
              </w:rPr>
              <w:t xml:space="preserve">x</w:t>
            </w:r>
          </w:p>
        </w:tc>
        <w:tc>
          <w:tcPr>
            <w:tcW w:w="794" w:type="dxa"/>
          </w:tcPr>
          <w:p>
            <w:pPr>
              <w:pStyle w:val="0"/>
              <w:jc w:val="center"/>
            </w:pPr>
            <w:r>
              <w:rPr>
                <w:sz w:val="20"/>
              </w:rPr>
              <w:t xml:space="preserve">x</w:t>
            </w:r>
          </w:p>
        </w:tc>
        <w:tc>
          <w:tcPr>
            <w:vMerge w:val="continue"/>
          </w:tcPr>
          <w:p/>
        </w:tc>
        <w:tc>
          <w:tcPr>
            <w:vMerge w:val="continue"/>
          </w:tcPr>
          <w:p/>
        </w:tc>
        <w:tc>
          <w:tcPr>
            <w:tcW w:w="850" w:type="dxa"/>
          </w:tcPr>
          <w:p>
            <w:pPr>
              <w:pStyle w:val="0"/>
            </w:pPr>
            <w:r>
              <w:rPr>
                <w:sz w:val="20"/>
              </w:rPr>
            </w:r>
          </w:p>
        </w:tc>
        <w:tc>
          <w:tcPr>
            <w:tcW w:w="1077" w:type="dxa"/>
          </w:tcPr>
          <w:p>
            <w:pPr>
              <w:pStyle w:val="0"/>
            </w:pPr>
            <w:r>
              <w:rPr>
                <w:sz w:val="20"/>
              </w:rPr>
            </w:r>
          </w:p>
        </w:tc>
        <w:tc>
          <w:tcPr>
            <w:tcW w:w="850" w:type="dxa"/>
          </w:tcPr>
          <w:p>
            <w:pPr>
              <w:pStyle w:val="0"/>
              <w:jc w:val="center"/>
            </w:pPr>
            <w:r>
              <w:rPr>
                <w:sz w:val="20"/>
              </w:rPr>
              <w:t xml:space="preserve">x</w:t>
            </w:r>
          </w:p>
        </w:tc>
        <w:tc>
          <w:tcPr>
            <w:tcW w:w="737" w:type="dxa"/>
          </w:tcPr>
          <w:p>
            <w:pPr>
              <w:pStyle w:val="0"/>
              <w:jc w:val="center"/>
            </w:pPr>
            <w:r>
              <w:rPr>
                <w:sz w:val="20"/>
              </w:rPr>
              <w:t xml:space="preserve">x</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Borders>
              <w:left w:val="nil"/>
            </w:tcBorders>
            <w:vMerge w:val="continue"/>
          </w:tcPr>
          <w:p/>
        </w:tc>
        <w:tc>
          <w:tcPr>
            <w:vMerge w:val="continue"/>
          </w:tcPr>
          <w:p/>
        </w:tc>
        <w:tc>
          <w:tcPr>
            <w:tcW w:w="850"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37" w:type="dxa"/>
          </w:tcPr>
          <w:p>
            <w:pPr>
              <w:pStyle w:val="0"/>
              <w:jc w:val="both"/>
            </w:pPr>
            <w:r>
              <w:rPr>
                <w:sz w:val="20"/>
              </w:rPr>
            </w:r>
          </w:p>
        </w:tc>
        <w:tc>
          <w:tcPr>
            <w:tcW w:w="737" w:type="dxa"/>
          </w:tcPr>
          <w:p>
            <w:pPr>
              <w:pStyle w:val="0"/>
            </w:pPr>
            <w:r>
              <w:rPr>
                <w:sz w:val="20"/>
              </w:rPr>
            </w:r>
          </w:p>
        </w:tc>
        <w:tc>
          <w:tcPr>
            <w:tcW w:w="794" w:type="dxa"/>
          </w:tcPr>
          <w:p>
            <w:pPr>
              <w:pStyle w:val="0"/>
              <w:jc w:val="center"/>
            </w:pPr>
            <w:r>
              <w:rPr>
                <w:sz w:val="20"/>
              </w:rPr>
              <w:t xml:space="preserve">x</w:t>
            </w:r>
          </w:p>
        </w:tc>
        <w:tc>
          <w:tcPr>
            <w:tcW w:w="794" w:type="dxa"/>
          </w:tcPr>
          <w:p>
            <w:pPr>
              <w:pStyle w:val="0"/>
              <w:jc w:val="center"/>
            </w:pPr>
            <w:r>
              <w:rPr>
                <w:sz w:val="20"/>
              </w:rPr>
              <w:t xml:space="preserve">x</w:t>
            </w:r>
          </w:p>
        </w:tc>
        <w:tc>
          <w:tcPr>
            <w:vMerge w:val="continue"/>
          </w:tcPr>
          <w:p/>
        </w:tc>
        <w:tc>
          <w:tcPr>
            <w:vMerge w:val="continue"/>
          </w:tcPr>
          <w:p/>
        </w:tc>
        <w:tc>
          <w:tcPr>
            <w:tcW w:w="850" w:type="dxa"/>
          </w:tcPr>
          <w:p>
            <w:pPr>
              <w:pStyle w:val="0"/>
            </w:pPr>
            <w:r>
              <w:rPr>
                <w:sz w:val="20"/>
              </w:rPr>
            </w:r>
          </w:p>
        </w:tc>
        <w:tc>
          <w:tcPr>
            <w:tcW w:w="1077" w:type="dxa"/>
          </w:tcPr>
          <w:p>
            <w:pPr>
              <w:pStyle w:val="0"/>
            </w:pPr>
            <w:r>
              <w:rPr>
                <w:sz w:val="20"/>
              </w:rPr>
            </w:r>
          </w:p>
        </w:tc>
        <w:tc>
          <w:tcPr>
            <w:tcW w:w="850" w:type="dxa"/>
          </w:tcPr>
          <w:p>
            <w:pPr>
              <w:pStyle w:val="0"/>
              <w:jc w:val="center"/>
            </w:pPr>
            <w:r>
              <w:rPr>
                <w:sz w:val="20"/>
              </w:rPr>
              <w:t xml:space="preserve">x</w:t>
            </w:r>
          </w:p>
        </w:tc>
        <w:tc>
          <w:tcPr>
            <w:tcW w:w="737" w:type="dxa"/>
          </w:tcPr>
          <w:p>
            <w:pPr>
              <w:pStyle w:val="0"/>
              <w:jc w:val="center"/>
            </w:pPr>
            <w:r>
              <w:rPr>
                <w:sz w:val="20"/>
              </w:rPr>
              <w:t xml:space="preserve">x</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bl>
    <w:p>
      <w:pPr>
        <w:pStyle w:val="0"/>
        <w:jc w:val="both"/>
      </w:pPr>
      <w:r>
        <w:rPr>
          <w:sz w:val="20"/>
        </w:rPr>
      </w:r>
    </w:p>
    <w:p>
      <w:pPr>
        <w:pStyle w:val="1"/>
        <w:jc w:val="both"/>
      </w:pPr>
      <w:r>
        <w:rPr>
          <w:sz w:val="20"/>
        </w:rPr>
        <w:t xml:space="preserve">       2. Аналитическая информация о достижении значений результатов</w:t>
      </w:r>
    </w:p>
    <w:p>
      <w:pPr>
        <w:pStyle w:val="1"/>
        <w:jc w:val="both"/>
      </w:pPr>
      <w:r>
        <w:rPr>
          <w:sz w:val="20"/>
        </w:rPr>
        <w:t xml:space="preserve">      предоставления Иного межбюджетного трансферта и обязательствах,</w:t>
      </w:r>
    </w:p>
    <w:p>
      <w:pPr>
        <w:pStyle w:val="1"/>
        <w:jc w:val="both"/>
      </w:pPr>
      <w:r>
        <w:rPr>
          <w:sz w:val="20"/>
        </w:rPr>
        <w:t xml:space="preserve">                      принятых в целях их достижения</w:t>
      </w:r>
    </w:p>
    <w:p>
      <w:pPr>
        <w:pStyle w:val="1"/>
        <w:jc w:val="both"/>
      </w:pPr>
      <w:r>
        <w:rPr>
          <w:sz w:val="20"/>
        </w:rPr>
      </w:r>
    </w:p>
    <w:bookmarkStart w:id="1781" w:name="P1781"/>
    <w:bookmarkEnd w:id="1781"/>
    <w:p>
      <w:pPr>
        <w:pStyle w:val="1"/>
        <w:jc w:val="both"/>
      </w:pPr>
      <w:r>
        <w:rPr>
          <w:sz w:val="20"/>
        </w:rPr>
        <w:t xml:space="preserve">      2.1. Аналитическая информация о достижении значений результатов</w:t>
      </w:r>
    </w:p>
    <w:p>
      <w:pPr>
        <w:pStyle w:val="1"/>
        <w:jc w:val="both"/>
      </w:pPr>
      <w:r>
        <w:rPr>
          <w:sz w:val="20"/>
        </w:rPr>
        <w:t xml:space="preserve">         предоставления Иного межбюджетного трансферта и об объеме</w:t>
      </w:r>
    </w:p>
    <w:p>
      <w:pPr>
        <w:pStyle w:val="1"/>
        <w:jc w:val="both"/>
      </w:pPr>
      <w:r>
        <w:rPr>
          <w:sz w:val="20"/>
        </w:rPr>
        <w:t xml:space="preserve">           обязательств субъекта Российской Федерации, принятых</w:t>
      </w:r>
    </w:p>
    <w:p>
      <w:pPr>
        <w:pStyle w:val="1"/>
        <w:jc w:val="both"/>
      </w:pPr>
      <w:r>
        <w:rPr>
          <w:sz w:val="20"/>
        </w:rPr>
        <w:t xml:space="preserve">                           в целях их достижения</w:t>
      </w:r>
    </w:p>
    <w:p>
      <w:pPr>
        <w:pStyle w:val="0"/>
        <w:jc w:val="both"/>
      </w:pPr>
      <w:r>
        <w:rPr>
          <w:sz w:val="20"/>
        </w:rPr>
      </w:r>
    </w:p>
    <w:tbl>
      <w:tblPr>
        <w:tblInd w:w="0" w:type="dxa"/>
        <w:tblW w:w="5000" w:type="pct"/>
        <w:tblBorders>
          <w:top w:val="single" w:sz="4"/>
          <w:bottom w:val="single" w:sz="4"/>
          <w:right w:val="single" w:sz="4"/>
          <w:insideV w:val="single" w:sz="4"/>
          <w:insideH w:val="single" w:sz="4"/>
        </w:tblBorders>
        <w:tblCellMar>
          <w:top w:w="102" w:type="dxa"/>
          <w:left w:w="62" w:type="dxa"/>
          <w:bottom w:w="102" w:type="dxa"/>
          <w:right w:w="62" w:type="dxa"/>
        </w:tblCellMar>
      </w:tblPr>
      <w:tblGrid>
        <w:gridCol w:w="907"/>
        <w:gridCol w:w="737"/>
        <w:gridCol w:w="1134"/>
        <w:gridCol w:w="907"/>
        <w:gridCol w:w="850"/>
        <w:gridCol w:w="680"/>
        <w:gridCol w:w="680"/>
        <w:gridCol w:w="907"/>
        <w:gridCol w:w="979"/>
        <w:gridCol w:w="907"/>
        <w:gridCol w:w="1138"/>
        <w:gridCol w:w="1020"/>
        <w:gridCol w:w="907"/>
        <w:gridCol w:w="624"/>
        <w:gridCol w:w="907"/>
        <w:gridCol w:w="964"/>
      </w:tblGrid>
      <w:tr>
        <w:tc>
          <w:tcPr>
            <w:gridSpan w:val="2"/>
            <w:tcW w:w="1644" w:type="dxa"/>
            <w:tcBorders>
              <w:left w:val="nil"/>
            </w:tcBorders>
          </w:tcPr>
          <w:p>
            <w:pPr>
              <w:pStyle w:val="0"/>
              <w:jc w:val="center"/>
            </w:pPr>
            <w:r>
              <w:rPr>
                <w:sz w:val="20"/>
              </w:rPr>
              <w:t xml:space="preserve">Направление расходов </w:t>
            </w:r>
            <w:hyperlink w:history="0" w:anchor="P2264" w:tooltip="&lt;11&gt; Показатели граф 1 - 5 разделов 2.1, 2.2 и граф 7, 8 раздела 2.1 соответственно формируются на основании показателей граф 1 - 5 и 7, 8 раздела 1.">
              <w:r>
                <w:rPr>
                  <w:sz w:val="20"/>
                  <w:color w:val="0000ff"/>
                </w:rPr>
                <w:t xml:space="preserve">&lt;11&gt;</w:t>
              </w:r>
            </w:hyperlink>
          </w:p>
        </w:tc>
        <w:tc>
          <w:tcPr>
            <w:tcW w:w="1134" w:type="dxa"/>
            <w:vMerge w:val="restart"/>
          </w:tcPr>
          <w:p>
            <w:pPr>
              <w:pStyle w:val="0"/>
              <w:jc w:val="center"/>
            </w:pPr>
            <w:r>
              <w:rPr>
                <w:sz w:val="20"/>
              </w:rPr>
              <w:t xml:space="preserve">Результат предоставления Иного межбюджетного трансферта </w:t>
            </w:r>
            <w:hyperlink w:history="0" w:anchor="P2264" w:tooltip="&lt;11&gt; Показатели граф 1 - 5 разделов 2.1, 2.2 и граф 7, 8 раздела 2.1 соответственно формируются на основании показателей граф 1 - 5 и 7, 8 раздела 1.">
              <w:r>
                <w:rPr>
                  <w:sz w:val="20"/>
                  <w:color w:val="0000ff"/>
                </w:rPr>
                <w:t xml:space="preserve">&lt;11&gt;</w:t>
              </w:r>
            </w:hyperlink>
          </w:p>
        </w:tc>
        <w:tc>
          <w:tcPr>
            <w:gridSpan w:val="2"/>
            <w:tcW w:w="1757" w:type="dxa"/>
          </w:tcPr>
          <w:p>
            <w:pPr>
              <w:pStyle w:val="0"/>
              <w:jc w:val="center"/>
            </w:pPr>
            <w:r>
              <w:rPr>
                <w:sz w:val="20"/>
              </w:rPr>
              <w:t xml:space="preserve">Единица измерения </w:t>
            </w:r>
            <w:hyperlink w:history="0" w:anchor="P2264" w:tooltip="&lt;11&gt; Показатели граф 1 - 5 разделов 2.1, 2.2 и граф 7, 8 раздела 2.1 соответственно формируются на основании показателей граф 1 - 5 и 7, 8 раздела 1.">
              <w:r>
                <w:rPr>
                  <w:sz w:val="20"/>
                  <w:color w:val="0000ff"/>
                </w:rPr>
                <w:t xml:space="preserve">&lt;11&gt;</w:t>
              </w:r>
            </w:hyperlink>
          </w:p>
        </w:tc>
        <w:tc>
          <w:tcPr>
            <w:tcW w:w="680" w:type="dxa"/>
            <w:vMerge w:val="restart"/>
          </w:tcPr>
          <w:p>
            <w:pPr>
              <w:pStyle w:val="0"/>
              <w:jc w:val="center"/>
            </w:pPr>
            <w:r>
              <w:rPr>
                <w:sz w:val="20"/>
              </w:rPr>
              <w:t xml:space="preserve">Код мероприятия (результата) федерального проекта </w:t>
            </w:r>
            <w:hyperlink w:history="0" w:anchor="P2257" w:tooltip="&lt;4.1&gt; Указывается соответствующий результату предоставления Иного межбюджетного трансферта код мероприятия (результата) федерального проекта, автоматически сформированный в системе &quot;Электронный бюджет&quot;.">
              <w:r>
                <w:rPr>
                  <w:sz w:val="20"/>
                  <w:color w:val="0000ff"/>
                </w:rPr>
                <w:t xml:space="preserve">&lt;4.1&gt;</w:t>
              </w:r>
            </w:hyperlink>
          </w:p>
        </w:tc>
        <w:tc>
          <w:tcPr>
            <w:tcW w:w="680" w:type="dxa"/>
            <w:vMerge w:val="restart"/>
          </w:tcPr>
          <w:p>
            <w:pPr>
              <w:pStyle w:val="0"/>
              <w:jc w:val="center"/>
            </w:pPr>
            <w:r>
              <w:rPr>
                <w:sz w:val="20"/>
              </w:rPr>
              <w:t xml:space="preserve">Код строки</w:t>
            </w:r>
          </w:p>
        </w:tc>
        <w:tc>
          <w:tcPr>
            <w:gridSpan w:val="2"/>
            <w:tcW w:w="1886" w:type="dxa"/>
          </w:tcPr>
          <w:p>
            <w:pPr>
              <w:pStyle w:val="0"/>
              <w:jc w:val="center"/>
            </w:pPr>
            <w:r>
              <w:rPr>
                <w:sz w:val="20"/>
              </w:rPr>
              <w:t xml:space="preserve">Плановые значения </w:t>
            </w:r>
            <w:hyperlink w:history="0" w:anchor="P2264" w:tooltip="&lt;11&gt; Показатели граф 1 - 5 разделов 2.1, 2.2 и граф 7, 8 раздела 2.1 соответственно формируются на основании показателей граф 1 - 5 и 7, 8 раздела 1.">
              <w:r>
                <w:rPr>
                  <w:sz w:val="20"/>
                  <w:color w:val="0000ff"/>
                </w:rPr>
                <w:t xml:space="preserve">&lt;11&gt;</w:t>
              </w:r>
            </w:hyperlink>
          </w:p>
        </w:tc>
        <w:tc>
          <w:tcPr>
            <w:gridSpan w:val="6"/>
            <w:tcW w:w="5503" w:type="dxa"/>
          </w:tcPr>
          <w:p>
            <w:pPr>
              <w:pStyle w:val="0"/>
              <w:jc w:val="center"/>
            </w:pPr>
            <w:r>
              <w:rPr>
                <w:sz w:val="20"/>
              </w:rPr>
              <w:t xml:space="preserve">Фактически достигнутые значения</w:t>
            </w:r>
          </w:p>
        </w:tc>
        <w:tc>
          <w:tcPr>
            <w:tcW w:w="964" w:type="dxa"/>
            <w:vMerge w:val="restart"/>
          </w:tcPr>
          <w:p>
            <w:pPr>
              <w:pStyle w:val="0"/>
              <w:jc w:val="center"/>
            </w:pPr>
            <w:r>
              <w:rPr>
                <w:sz w:val="20"/>
              </w:rPr>
              <w:t xml:space="preserve">уровень софинансирования (</w:t>
            </w:r>
            <w:hyperlink w:history="0" w:anchor="P1943" w:tooltip="19">
              <w:r>
                <w:rPr>
                  <w:sz w:val="20"/>
                  <w:color w:val="0000ff"/>
                </w:rPr>
                <w:t xml:space="preserve">гр. 19</w:t>
              </w:r>
            </w:hyperlink>
            <w:r>
              <w:rPr>
                <w:sz w:val="20"/>
              </w:rPr>
              <w:t xml:space="preserve"> / </w:t>
            </w:r>
            <w:hyperlink w:history="0" w:anchor="P1942" w:tooltip="18">
              <w:r>
                <w:rPr>
                  <w:sz w:val="20"/>
                  <w:color w:val="0000ff"/>
                </w:rPr>
                <w:t xml:space="preserve">гр. 18</w:t>
              </w:r>
            </w:hyperlink>
            <w:r>
              <w:rPr>
                <w:sz w:val="20"/>
              </w:rPr>
              <w:t xml:space="preserve"> * 100%), % </w:t>
            </w:r>
            <w:hyperlink w:history="0" w:anchor="P2267" w:tooltip="&lt;14&gt; Указывается уровень софинансирования с учетом которого осуществлены кассовые расходы федерального бюджета по предоставлению Иного межбюджетного трансферта за отчетный период. В случае, если кассовые расходы федерального бюджета по предоставлению Иного межбюджетного трансферта за отчетный период не осуществлены, показатель не заполняется.">
              <w:r>
                <w:rPr>
                  <w:sz w:val="20"/>
                  <w:color w:val="0000ff"/>
                </w:rPr>
                <w:t xml:space="preserve">&lt;14&gt;</w:t>
              </w:r>
            </w:hyperlink>
          </w:p>
        </w:tc>
      </w:tr>
      <w:tr>
        <w:tc>
          <w:tcPr>
            <w:tcW w:w="907" w:type="dxa"/>
            <w:tcBorders>
              <w:left w:val="nil"/>
            </w:tcBorders>
            <w:vMerge w:val="restart"/>
          </w:tcPr>
          <w:p>
            <w:pPr>
              <w:pStyle w:val="0"/>
              <w:jc w:val="center"/>
            </w:pPr>
            <w:r>
              <w:rPr>
                <w:sz w:val="20"/>
              </w:rPr>
              <w:t xml:space="preserve">наименование</w:t>
            </w:r>
          </w:p>
        </w:tc>
        <w:tc>
          <w:tcPr>
            <w:tcW w:w="737" w:type="dxa"/>
            <w:vMerge w:val="restart"/>
          </w:tcPr>
          <w:p>
            <w:pPr>
              <w:pStyle w:val="0"/>
              <w:jc w:val="center"/>
            </w:pPr>
            <w:r>
              <w:rPr>
                <w:sz w:val="20"/>
              </w:rPr>
              <w:t xml:space="preserve">код по БК</w:t>
            </w:r>
          </w:p>
        </w:tc>
        <w:tc>
          <w:tcPr>
            <w:vMerge w:val="continue"/>
          </w:tcPr>
          <w:p/>
        </w:tc>
        <w:tc>
          <w:tcPr>
            <w:tcW w:w="907" w:type="dxa"/>
            <w:vMerge w:val="restart"/>
          </w:tcPr>
          <w:p>
            <w:pPr>
              <w:pStyle w:val="0"/>
              <w:jc w:val="center"/>
            </w:pPr>
            <w:r>
              <w:rPr>
                <w:sz w:val="20"/>
              </w:rPr>
              <w:t xml:space="preserve">наименование</w:t>
            </w:r>
          </w:p>
        </w:tc>
        <w:tc>
          <w:tcPr>
            <w:tcW w:w="850" w:type="dxa"/>
            <w:vMerge w:val="restart"/>
          </w:tcPr>
          <w:p>
            <w:pPr>
              <w:pStyle w:val="0"/>
              <w:jc w:val="center"/>
            </w:pPr>
            <w:r>
              <w:rPr>
                <w:sz w:val="20"/>
              </w:rPr>
              <w:t xml:space="preserve">код по </w:t>
            </w:r>
            <w:hyperlink w:history="0" r:id="rId7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tc>
        <w:tc>
          <w:tcPr>
            <w:vMerge w:val="continue"/>
          </w:tcPr>
          <w:p/>
        </w:tc>
        <w:tc>
          <w:tcPr>
            <w:vMerge w:val="continue"/>
          </w:tcPr>
          <w:p/>
        </w:tc>
        <w:tc>
          <w:tcPr>
            <w:tcW w:w="907" w:type="dxa"/>
            <w:vMerge w:val="restart"/>
          </w:tcPr>
          <w:p>
            <w:pPr>
              <w:pStyle w:val="0"/>
              <w:jc w:val="center"/>
            </w:pPr>
            <w:r>
              <w:rPr>
                <w:sz w:val="20"/>
              </w:rPr>
              <w:t xml:space="preserve">с даты заключения соглашения</w:t>
            </w:r>
          </w:p>
        </w:tc>
        <w:tc>
          <w:tcPr>
            <w:tcW w:w="979" w:type="dxa"/>
            <w:vMerge w:val="restart"/>
          </w:tcPr>
          <w:p>
            <w:pPr>
              <w:pStyle w:val="0"/>
              <w:jc w:val="center"/>
            </w:pPr>
            <w:r>
              <w:rPr>
                <w:sz w:val="20"/>
              </w:rPr>
              <w:t xml:space="preserve">из них с начала текущего финансового года</w:t>
            </w:r>
          </w:p>
        </w:tc>
        <w:tc>
          <w:tcPr>
            <w:gridSpan w:val="2"/>
            <w:tcW w:w="2045" w:type="dxa"/>
          </w:tcPr>
          <w:p>
            <w:pPr>
              <w:pStyle w:val="0"/>
              <w:jc w:val="center"/>
            </w:pPr>
            <w:r>
              <w:rPr>
                <w:sz w:val="20"/>
              </w:rPr>
              <w:t xml:space="preserve">на отчетную дату </w:t>
            </w:r>
            <w:hyperlink w:history="0" w:anchor="P2265" w:tooltip="&lt;12&gt; Указываются значения показателей, отраженных в графе 3 раздела 2.1, достигнутые субъектом Российской Федерации на отчетную дату, нарастающим итогом (если иное не предусмотрено Правилами предоставления иных межбюджетных трансфертов) с даты заключения Соглашения и с начала текущего финансового года соответственно.">
              <w:r>
                <w:rPr>
                  <w:sz w:val="20"/>
                  <w:color w:val="0000ff"/>
                </w:rPr>
                <w:t xml:space="preserve">&lt;12&gt;</w:t>
              </w:r>
            </w:hyperlink>
          </w:p>
        </w:tc>
        <w:tc>
          <w:tcPr>
            <w:gridSpan w:val="2"/>
            <w:tcW w:w="1927" w:type="dxa"/>
          </w:tcPr>
          <w:p>
            <w:pPr>
              <w:pStyle w:val="0"/>
              <w:jc w:val="center"/>
            </w:pPr>
            <w:r>
              <w:rPr>
                <w:sz w:val="20"/>
              </w:rPr>
              <w:t xml:space="preserve">отклонение от планового значения</w:t>
            </w:r>
          </w:p>
        </w:tc>
        <w:tc>
          <w:tcPr>
            <w:gridSpan w:val="2"/>
            <w:tcW w:w="1531" w:type="dxa"/>
          </w:tcPr>
          <w:p>
            <w:pPr>
              <w:pStyle w:val="0"/>
              <w:jc w:val="center"/>
            </w:pPr>
            <w:r>
              <w:rPr>
                <w:sz w:val="20"/>
              </w:rPr>
              <w:t xml:space="preserve">причина отклонения </w:t>
            </w:r>
            <w:hyperlink w:history="0" w:anchor="P2266" w:tooltip="&lt;13&gt; Перечень причин отклонений устанавливается финансовым органом.">
              <w:r>
                <w:rPr>
                  <w:sz w:val="20"/>
                  <w:color w:val="0000ff"/>
                </w:rPr>
                <w:t xml:space="preserve">&lt;13&gt;</w:t>
              </w:r>
            </w:hyperlink>
          </w:p>
        </w:tc>
        <w:tc>
          <w:tcPr>
            <w:vMerge w:val="continue"/>
          </w:tcP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7" w:type="dxa"/>
          </w:tcPr>
          <w:p>
            <w:pPr>
              <w:pStyle w:val="0"/>
              <w:jc w:val="center"/>
            </w:pPr>
            <w:r>
              <w:rPr>
                <w:sz w:val="20"/>
              </w:rPr>
              <w:t xml:space="preserve">с даты заключения соглашения</w:t>
            </w:r>
          </w:p>
        </w:tc>
        <w:tc>
          <w:tcPr>
            <w:tcW w:w="1138" w:type="dxa"/>
          </w:tcPr>
          <w:p>
            <w:pPr>
              <w:pStyle w:val="0"/>
              <w:jc w:val="center"/>
            </w:pPr>
            <w:r>
              <w:rPr>
                <w:sz w:val="20"/>
              </w:rPr>
              <w:t xml:space="preserve">из них с начала текущего финансового года</w:t>
            </w:r>
          </w:p>
        </w:tc>
        <w:tc>
          <w:tcPr>
            <w:tcW w:w="1020" w:type="dxa"/>
          </w:tcPr>
          <w:p>
            <w:pPr>
              <w:pStyle w:val="0"/>
              <w:jc w:val="center"/>
            </w:pPr>
            <w:r>
              <w:rPr>
                <w:sz w:val="20"/>
              </w:rPr>
              <w:t xml:space="preserve">в абсолютных величинах (</w:t>
            </w:r>
            <w:hyperlink w:history="0" w:anchor="P1818" w:tooltip="9">
              <w:r>
                <w:rPr>
                  <w:sz w:val="20"/>
                  <w:color w:val="0000ff"/>
                </w:rPr>
                <w:t xml:space="preserve">гр. 9</w:t>
              </w:r>
            </w:hyperlink>
            <w:r>
              <w:rPr>
                <w:sz w:val="20"/>
              </w:rPr>
              <w:t xml:space="preserve"> - </w:t>
            </w:r>
            <w:hyperlink w:history="0" w:anchor="P1816" w:tooltip="7">
              <w:r>
                <w:rPr>
                  <w:sz w:val="20"/>
                  <w:color w:val="0000ff"/>
                </w:rPr>
                <w:t xml:space="preserve">гр. 7</w:t>
              </w:r>
            </w:hyperlink>
            <w:r>
              <w:rPr>
                <w:sz w:val="20"/>
              </w:rPr>
              <w:t xml:space="preserve">)</w:t>
            </w:r>
          </w:p>
        </w:tc>
        <w:tc>
          <w:tcPr>
            <w:tcW w:w="907" w:type="dxa"/>
          </w:tcPr>
          <w:p>
            <w:pPr>
              <w:pStyle w:val="0"/>
              <w:jc w:val="center"/>
            </w:pPr>
            <w:r>
              <w:rPr>
                <w:sz w:val="20"/>
              </w:rPr>
              <w:t xml:space="preserve">в процентах </w:t>
            </w:r>
            <w:hyperlink w:history="0" w:anchor="P1820" w:tooltip="11">
              <w:r>
                <w:rPr>
                  <w:sz w:val="20"/>
                  <w:color w:val="0000ff"/>
                </w:rPr>
                <w:t xml:space="preserve">гр. 11</w:t>
              </w:r>
            </w:hyperlink>
            <w:r>
              <w:rPr>
                <w:sz w:val="20"/>
              </w:rPr>
              <w:t xml:space="preserve"> / </w:t>
            </w:r>
            <w:hyperlink w:history="0" w:anchor="P1816" w:tooltip="7">
              <w:r>
                <w:rPr>
                  <w:sz w:val="20"/>
                  <w:color w:val="0000ff"/>
                </w:rPr>
                <w:t xml:space="preserve">гр. 7</w:t>
              </w:r>
            </w:hyperlink>
            <w:r>
              <w:rPr>
                <w:sz w:val="20"/>
              </w:rPr>
              <w:t xml:space="preserve"> x 100%</w:t>
            </w:r>
          </w:p>
        </w:tc>
        <w:tc>
          <w:tcPr>
            <w:tcW w:w="624" w:type="dxa"/>
          </w:tcPr>
          <w:p>
            <w:pPr>
              <w:pStyle w:val="0"/>
              <w:jc w:val="center"/>
            </w:pPr>
            <w:r>
              <w:rPr>
                <w:sz w:val="20"/>
              </w:rPr>
              <w:t xml:space="preserve">код</w:t>
            </w:r>
          </w:p>
        </w:tc>
        <w:tc>
          <w:tcPr>
            <w:tcW w:w="907" w:type="dxa"/>
          </w:tcPr>
          <w:p>
            <w:pPr>
              <w:pStyle w:val="0"/>
              <w:jc w:val="center"/>
            </w:pPr>
            <w:r>
              <w:rPr>
                <w:sz w:val="20"/>
              </w:rPr>
              <w:t xml:space="preserve">наименование</w:t>
            </w:r>
          </w:p>
        </w:tc>
        <w:tc>
          <w:tcPr>
            <w:vMerge w:val="continue"/>
          </w:tcPr>
          <w:p/>
        </w:tc>
      </w:tr>
      <w:tr>
        <w:tc>
          <w:tcPr>
            <w:tcW w:w="907" w:type="dxa"/>
            <w:tcBorders>
              <w:left w:val="nil"/>
            </w:tcBorders>
          </w:tcPr>
          <w:p>
            <w:pPr>
              <w:pStyle w:val="0"/>
              <w:jc w:val="center"/>
            </w:pPr>
            <w:r>
              <w:rPr>
                <w:sz w:val="20"/>
              </w:rPr>
              <w:t xml:space="preserve">1</w:t>
            </w:r>
          </w:p>
        </w:tc>
        <w:tc>
          <w:tcPr>
            <w:tcW w:w="737" w:type="dxa"/>
          </w:tcPr>
          <w:p>
            <w:pPr>
              <w:pStyle w:val="0"/>
              <w:jc w:val="center"/>
            </w:pPr>
            <w:r>
              <w:rPr>
                <w:sz w:val="20"/>
              </w:rPr>
              <w:t xml:space="preserve">2</w:t>
            </w:r>
          </w:p>
        </w:tc>
        <w:tc>
          <w:tcPr>
            <w:tcW w:w="1134" w:type="dxa"/>
          </w:tcPr>
          <w:bookmarkStart w:id="1811" w:name="P1811"/>
          <w:bookmarkEnd w:id="1811"/>
          <w:p>
            <w:pPr>
              <w:pStyle w:val="0"/>
              <w:jc w:val="center"/>
            </w:pPr>
            <w:r>
              <w:rPr>
                <w:sz w:val="20"/>
              </w:rPr>
              <w:t xml:space="preserve">3</w:t>
            </w:r>
          </w:p>
        </w:tc>
        <w:tc>
          <w:tcPr>
            <w:tcW w:w="907" w:type="dxa"/>
          </w:tcPr>
          <w:p>
            <w:pPr>
              <w:pStyle w:val="0"/>
              <w:jc w:val="center"/>
            </w:pPr>
            <w:r>
              <w:rPr>
                <w:sz w:val="20"/>
              </w:rPr>
              <w:t xml:space="preserve">4</w:t>
            </w:r>
          </w:p>
        </w:tc>
        <w:tc>
          <w:tcPr>
            <w:tcW w:w="850" w:type="dxa"/>
          </w:tcPr>
          <w:p>
            <w:pPr>
              <w:pStyle w:val="0"/>
              <w:jc w:val="center"/>
            </w:pPr>
            <w:r>
              <w:rPr>
                <w:sz w:val="20"/>
              </w:rPr>
              <w:t xml:space="preserve">5</w:t>
            </w:r>
          </w:p>
        </w:tc>
        <w:tc>
          <w:tcPr>
            <w:tcW w:w="680" w:type="dxa"/>
          </w:tcPr>
          <w:p>
            <w:pPr>
              <w:pStyle w:val="0"/>
              <w:jc w:val="center"/>
            </w:pPr>
            <w:r>
              <w:rPr>
                <w:sz w:val="20"/>
              </w:rPr>
              <w:t xml:space="preserve">5.1</w:t>
            </w:r>
          </w:p>
        </w:tc>
        <w:tc>
          <w:tcPr>
            <w:tcW w:w="680" w:type="dxa"/>
          </w:tcPr>
          <w:p>
            <w:pPr>
              <w:pStyle w:val="0"/>
              <w:jc w:val="center"/>
            </w:pPr>
            <w:r>
              <w:rPr>
                <w:sz w:val="20"/>
              </w:rPr>
              <w:t xml:space="preserve">6</w:t>
            </w:r>
          </w:p>
        </w:tc>
        <w:tc>
          <w:tcPr>
            <w:tcW w:w="907" w:type="dxa"/>
          </w:tcPr>
          <w:bookmarkStart w:id="1816" w:name="P1816"/>
          <w:bookmarkEnd w:id="1816"/>
          <w:p>
            <w:pPr>
              <w:pStyle w:val="0"/>
              <w:jc w:val="center"/>
            </w:pPr>
            <w:r>
              <w:rPr>
                <w:sz w:val="20"/>
              </w:rPr>
              <w:t xml:space="preserve">7</w:t>
            </w:r>
          </w:p>
        </w:tc>
        <w:tc>
          <w:tcPr>
            <w:tcW w:w="979" w:type="dxa"/>
          </w:tcPr>
          <w:bookmarkStart w:id="1817" w:name="P1817"/>
          <w:bookmarkEnd w:id="1817"/>
          <w:p>
            <w:pPr>
              <w:pStyle w:val="0"/>
              <w:jc w:val="center"/>
            </w:pPr>
            <w:r>
              <w:rPr>
                <w:sz w:val="20"/>
              </w:rPr>
              <w:t xml:space="preserve">8</w:t>
            </w:r>
          </w:p>
        </w:tc>
        <w:tc>
          <w:tcPr>
            <w:tcW w:w="907" w:type="dxa"/>
          </w:tcPr>
          <w:bookmarkStart w:id="1818" w:name="P1818"/>
          <w:bookmarkEnd w:id="1818"/>
          <w:p>
            <w:pPr>
              <w:pStyle w:val="0"/>
              <w:jc w:val="center"/>
            </w:pPr>
            <w:r>
              <w:rPr>
                <w:sz w:val="20"/>
              </w:rPr>
              <w:t xml:space="preserve">9</w:t>
            </w:r>
          </w:p>
        </w:tc>
        <w:tc>
          <w:tcPr>
            <w:tcW w:w="1138" w:type="dxa"/>
          </w:tcPr>
          <w:p>
            <w:pPr>
              <w:pStyle w:val="0"/>
              <w:jc w:val="center"/>
            </w:pPr>
            <w:r>
              <w:rPr>
                <w:sz w:val="20"/>
              </w:rPr>
              <w:t xml:space="preserve">10</w:t>
            </w:r>
          </w:p>
        </w:tc>
        <w:tc>
          <w:tcPr>
            <w:tcW w:w="1020" w:type="dxa"/>
          </w:tcPr>
          <w:bookmarkStart w:id="1820" w:name="P1820"/>
          <w:bookmarkEnd w:id="1820"/>
          <w:p>
            <w:pPr>
              <w:pStyle w:val="0"/>
              <w:jc w:val="center"/>
            </w:pPr>
            <w:r>
              <w:rPr>
                <w:sz w:val="20"/>
              </w:rPr>
              <w:t xml:space="preserve">11</w:t>
            </w:r>
          </w:p>
        </w:tc>
        <w:tc>
          <w:tcPr>
            <w:tcW w:w="907" w:type="dxa"/>
          </w:tcPr>
          <w:bookmarkStart w:id="1821" w:name="P1821"/>
          <w:bookmarkEnd w:id="1821"/>
          <w:p>
            <w:pPr>
              <w:pStyle w:val="0"/>
              <w:jc w:val="center"/>
            </w:pPr>
            <w:r>
              <w:rPr>
                <w:sz w:val="20"/>
              </w:rPr>
              <w:t xml:space="preserve">12</w:t>
            </w:r>
          </w:p>
        </w:tc>
        <w:tc>
          <w:tcPr>
            <w:tcW w:w="624" w:type="dxa"/>
          </w:tcPr>
          <w:p>
            <w:pPr>
              <w:pStyle w:val="0"/>
              <w:jc w:val="center"/>
            </w:pPr>
            <w:r>
              <w:rPr>
                <w:sz w:val="20"/>
              </w:rPr>
              <w:t xml:space="preserve">13</w:t>
            </w:r>
          </w:p>
        </w:tc>
        <w:tc>
          <w:tcPr>
            <w:tcW w:w="907" w:type="dxa"/>
          </w:tcPr>
          <w:p>
            <w:pPr>
              <w:pStyle w:val="0"/>
              <w:jc w:val="center"/>
            </w:pPr>
            <w:r>
              <w:rPr>
                <w:sz w:val="20"/>
              </w:rPr>
              <w:t xml:space="preserve">14</w:t>
            </w:r>
          </w:p>
        </w:tc>
        <w:tc>
          <w:tcPr>
            <w:tcW w:w="964" w:type="dxa"/>
          </w:tcPr>
          <w:p>
            <w:pPr>
              <w:pStyle w:val="0"/>
              <w:jc w:val="center"/>
            </w:pPr>
            <w:r>
              <w:rPr>
                <w:sz w:val="20"/>
              </w:rPr>
              <w:t xml:space="preserve">15</w:t>
            </w:r>
          </w:p>
        </w:tc>
      </w:tr>
      <w:tr>
        <w:tc>
          <w:tcPr>
            <w:tcW w:w="907" w:type="dxa"/>
            <w:tcBorders>
              <w:left w:val="nil"/>
            </w:tcBorders>
            <w:vMerge w:val="restart"/>
          </w:tcPr>
          <w:p>
            <w:pPr>
              <w:pStyle w:val="0"/>
            </w:pPr>
            <w:r>
              <w:rPr>
                <w:sz w:val="20"/>
              </w:rPr>
            </w:r>
          </w:p>
        </w:tc>
        <w:tc>
          <w:tcPr>
            <w:tcW w:w="737" w:type="dxa"/>
            <w:vMerge w:val="restart"/>
          </w:tcPr>
          <w:p>
            <w:pPr>
              <w:pStyle w:val="0"/>
            </w:pPr>
            <w:r>
              <w:rPr>
                <w:sz w:val="20"/>
              </w:rPr>
            </w:r>
          </w:p>
        </w:tc>
        <w:tc>
          <w:tcPr>
            <w:tcW w:w="113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680" w:type="dxa"/>
          </w:tcPr>
          <w:p>
            <w:pPr>
              <w:pStyle w:val="0"/>
              <w:jc w:val="both"/>
            </w:pPr>
            <w:r>
              <w:rPr>
                <w:sz w:val="20"/>
              </w:rPr>
            </w:r>
          </w:p>
        </w:tc>
        <w:tc>
          <w:tcPr>
            <w:tcW w:w="680" w:type="dxa"/>
          </w:tcPr>
          <w:p>
            <w:pPr>
              <w:pStyle w:val="0"/>
              <w:jc w:val="center"/>
            </w:pPr>
            <w:r>
              <w:rPr>
                <w:sz w:val="20"/>
              </w:rPr>
              <w:t xml:space="preserve">0100</w:t>
            </w:r>
          </w:p>
        </w:tc>
        <w:tc>
          <w:tcPr>
            <w:tcW w:w="907" w:type="dxa"/>
          </w:tcPr>
          <w:p>
            <w:pPr>
              <w:pStyle w:val="0"/>
            </w:pPr>
            <w:r>
              <w:rPr>
                <w:sz w:val="20"/>
              </w:rPr>
            </w:r>
          </w:p>
        </w:tc>
        <w:tc>
          <w:tcPr>
            <w:tcW w:w="979" w:type="dxa"/>
          </w:tcPr>
          <w:p>
            <w:pPr>
              <w:pStyle w:val="0"/>
            </w:pPr>
            <w:r>
              <w:rPr>
                <w:sz w:val="20"/>
              </w:rPr>
            </w:r>
          </w:p>
        </w:tc>
        <w:tc>
          <w:tcPr>
            <w:tcW w:w="907" w:type="dxa"/>
          </w:tcPr>
          <w:p>
            <w:pPr>
              <w:pStyle w:val="0"/>
            </w:pPr>
            <w:r>
              <w:rPr>
                <w:sz w:val="20"/>
              </w:rPr>
            </w:r>
          </w:p>
        </w:tc>
        <w:tc>
          <w:tcPr>
            <w:tcW w:w="1138" w:type="dxa"/>
          </w:tcPr>
          <w:p>
            <w:pPr>
              <w:pStyle w:val="0"/>
            </w:pPr>
            <w:r>
              <w:rPr>
                <w:sz w:val="20"/>
              </w:rPr>
            </w:r>
          </w:p>
        </w:tc>
        <w:tc>
          <w:tcPr>
            <w:tcW w:w="1020" w:type="dxa"/>
          </w:tcPr>
          <w:p>
            <w:pPr>
              <w:pStyle w:val="0"/>
            </w:pPr>
            <w:r>
              <w:rPr>
                <w:sz w:val="20"/>
              </w:rPr>
            </w:r>
          </w:p>
        </w:tc>
        <w:tc>
          <w:tcPr>
            <w:tcW w:w="907" w:type="dxa"/>
          </w:tcPr>
          <w:p>
            <w:pPr>
              <w:pStyle w:val="0"/>
            </w:pPr>
            <w:r>
              <w:rPr>
                <w:sz w:val="20"/>
              </w:rPr>
            </w:r>
          </w:p>
        </w:tc>
        <w:tc>
          <w:tcPr>
            <w:tcW w:w="624" w:type="dxa"/>
          </w:tcPr>
          <w:p>
            <w:pPr>
              <w:pStyle w:val="0"/>
            </w:pPr>
            <w:r>
              <w:rPr>
                <w:sz w:val="20"/>
              </w:rPr>
            </w:r>
          </w:p>
        </w:tc>
        <w:tc>
          <w:tcPr>
            <w:tcW w:w="907" w:type="dxa"/>
          </w:tcPr>
          <w:p>
            <w:pPr>
              <w:pStyle w:val="0"/>
            </w:pPr>
            <w:r>
              <w:rPr>
                <w:sz w:val="20"/>
              </w:rPr>
            </w:r>
          </w:p>
        </w:tc>
        <w:tc>
          <w:tcPr>
            <w:tcW w:w="964" w:type="dxa"/>
            <w:vMerge w:val="restart"/>
          </w:tcPr>
          <w:p>
            <w:pPr>
              <w:pStyle w:val="0"/>
            </w:pPr>
            <w:r>
              <w:rPr>
                <w:sz w:val="20"/>
              </w:rPr>
            </w:r>
          </w:p>
        </w:tc>
      </w:tr>
      <w:tr>
        <w:tc>
          <w:tcPr>
            <w:tcBorders>
              <w:left w:val="nil"/>
            </w:tcBorders>
            <w:vMerge w:val="continue"/>
          </w:tcPr>
          <w:p/>
        </w:tc>
        <w:tc>
          <w:tcPr>
            <w:vMerge w:val="continue"/>
          </w:tcPr>
          <w:p/>
        </w:tc>
        <w:tc>
          <w:tcPr>
            <w:tcW w:w="1134" w:type="dxa"/>
          </w:tcPr>
          <w:p>
            <w:pPr>
              <w:pStyle w:val="0"/>
            </w:pPr>
            <w:r>
              <w:rPr>
                <w:sz w:val="20"/>
              </w:rPr>
              <w:t xml:space="preserve">в том числе:</w:t>
            </w:r>
          </w:p>
        </w:tc>
        <w:tc>
          <w:tcPr>
            <w:tcW w:w="907" w:type="dxa"/>
          </w:tcPr>
          <w:p>
            <w:pPr>
              <w:pStyle w:val="0"/>
            </w:pPr>
            <w:r>
              <w:rPr>
                <w:sz w:val="20"/>
              </w:rPr>
            </w:r>
          </w:p>
        </w:tc>
        <w:tc>
          <w:tcPr>
            <w:tcW w:w="850" w:type="dxa"/>
          </w:tcPr>
          <w:p>
            <w:pPr>
              <w:pStyle w:val="0"/>
            </w:pPr>
            <w:r>
              <w:rPr>
                <w:sz w:val="20"/>
              </w:rPr>
            </w:r>
          </w:p>
        </w:tc>
        <w:tc>
          <w:tcPr>
            <w:tcW w:w="680" w:type="dxa"/>
          </w:tcPr>
          <w:p>
            <w:pPr>
              <w:pStyle w:val="0"/>
              <w:jc w:val="both"/>
            </w:pPr>
            <w:r>
              <w:rPr>
                <w:sz w:val="20"/>
              </w:rPr>
            </w:r>
          </w:p>
        </w:tc>
        <w:tc>
          <w:tcPr>
            <w:tcW w:w="680" w:type="dxa"/>
          </w:tcPr>
          <w:p>
            <w:pPr>
              <w:pStyle w:val="0"/>
              <w:jc w:val="center"/>
            </w:pPr>
            <w:r>
              <w:rPr>
                <w:sz w:val="20"/>
              </w:rPr>
              <w:t xml:space="preserve">0101</w:t>
            </w:r>
          </w:p>
        </w:tc>
        <w:tc>
          <w:tcPr>
            <w:tcW w:w="907" w:type="dxa"/>
          </w:tcPr>
          <w:p>
            <w:pPr>
              <w:pStyle w:val="0"/>
              <w:jc w:val="center"/>
            </w:pPr>
            <w:r>
              <w:rPr>
                <w:sz w:val="20"/>
              </w:rPr>
              <w:t xml:space="preserve">x</w:t>
            </w:r>
          </w:p>
        </w:tc>
        <w:tc>
          <w:tcPr>
            <w:tcW w:w="979" w:type="dxa"/>
          </w:tcPr>
          <w:p>
            <w:pPr>
              <w:pStyle w:val="0"/>
              <w:jc w:val="center"/>
            </w:pPr>
            <w:r>
              <w:rPr>
                <w:sz w:val="20"/>
              </w:rPr>
              <w:t xml:space="preserve">x</w:t>
            </w:r>
          </w:p>
        </w:tc>
        <w:tc>
          <w:tcPr>
            <w:tcW w:w="907" w:type="dxa"/>
          </w:tcPr>
          <w:p>
            <w:pPr>
              <w:pStyle w:val="0"/>
            </w:pPr>
            <w:r>
              <w:rPr>
                <w:sz w:val="20"/>
              </w:rPr>
            </w:r>
          </w:p>
        </w:tc>
        <w:tc>
          <w:tcPr>
            <w:tcW w:w="1138" w:type="dxa"/>
          </w:tcPr>
          <w:p>
            <w:pPr>
              <w:pStyle w:val="0"/>
            </w:pPr>
            <w:r>
              <w:rPr>
                <w:sz w:val="20"/>
              </w:rPr>
            </w:r>
          </w:p>
        </w:tc>
        <w:tc>
          <w:tcPr>
            <w:tcW w:w="1020" w:type="dxa"/>
          </w:tcPr>
          <w:p>
            <w:pPr>
              <w:pStyle w:val="0"/>
              <w:jc w:val="center"/>
            </w:pPr>
            <w:r>
              <w:rPr>
                <w:sz w:val="20"/>
              </w:rPr>
              <w:t xml:space="preserve">x</w:t>
            </w:r>
          </w:p>
        </w:tc>
        <w:tc>
          <w:tcPr>
            <w:tcW w:w="907" w:type="dxa"/>
          </w:tcPr>
          <w:p>
            <w:pPr>
              <w:pStyle w:val="0"/>
              <w:jc w:val="center"/>
            </w:pPr>
            <w:r>
              <w:rPr>
                <w:sz w:val="20"/>
              </w:rPr>
              <w:t xml:space="preserve">x</w:t>
            </w:r>
          </w:p>
        </w:tc>
        <w:tc>
          <w:tcPr>
            <w:tcW w:w="624" w:type="dxa"/>
          </w:tcPr>
          <w:p>
            <w:pPr>
              <w:pStyle w:val="0"/>
              <w:jc w:val="center"/>
            </w:pPr>
            <w:r>
              <w:rPr>
                <w:sz w:val="20"/>
              </w:rPr>
              <w:t xml:space="preserve">x</w:t>
            </w:r>
          </w:p>
        </w:tc>
        <w:tc>
          <w:tcPr>
            <w:tcW w:w="907" w:type="dxa"/>
          </w:tcPr>
          <w:p>
            <w:pPr>
              <w:pStyle w:val="0"/>
              <w:jc w:val="center"/>
            </w:pPr>
            <w:r>
              <w:rPr>
                <w:sz w:val="20"/>
              </w:rPr>
              <w:t xml:space="preserve">x</w:t>
            </w:r>
          </w:p>
        </w:tc>
        <w:tc>
          <w:tcPr>
            <w:vMerge w:val="continue"/>
          </w:tcPr>
          <w:p/>
        </w:tc>
      </w:tr>
      <w:tr>
        <w:tc>
          <w:tcPr>
            <w:tcBorders>
              <w:left w:val="nil"/>
            </w:tcBorders>
            <w:vMerge w:val="continue"/>
          </w:tcPr>
          <w:p/>
        </w:tc>
        <w:tc>
          <w:tcPr>
            <w:vMerge w:val="continue"/>
          </w:tcPr>
          <w:p/>
        </w:tc>
        <w:tc>
          <w:tcPr>
            <w:tcW w:w="113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680" w:type="dxa"/>
          </w:tcPr>
          <w:p>
            <w:pPr>
              <w:pStyle w:val="0"/>
              <w:jc w:val="both"/>
            </w:pPr>
            <w:r>
              <w:rPr>
                <w:sz w:val="20"/>
              </w:rPr>
            </w:r>
          </w:p>
        </w:tc>
        <w:tc>
          <w:tcPr>
            <w:tcW w:w="680" w:type="dxa"/>
          </w:tcPr>
          <w:p>
            <w:pPr>
              <w:pStyle w:val="0"/>
            </w:pPr>
            <w:r>
              <w:rPr>
                <w:sz w:val="20"/>
              </w:rPr>
            </w:r>
          </w:p>
        </w:tc>
        <w:tc>
          <w:tcPr>
            <w:tcW w:w="907" w:type="dxa"/>
          </w:tcPr>
          <w:p>
            <w:pPr>
              <w:pStyle w:val="0"/>
              <w:jc w:val="center"/>
            </w:pPr>
            <w:r>
              <w:rPr>
                <w:sz w:val="20"/>
              </w:rPr>
              <w:t xml:space="preserve">x</w:t>
            </w:r>
          </w:p>
        </w:tc>
        <w:tc>
          <w:tcPr>
            <w:tcW w:w="979" w:type="dxa"/>
          </w:tcPr>
          <w:p>
            <w:pPr>
              <w:pStyle w:val="0"/>
              <w:jc w:val="center"/>
            </w:pPr>
            <w:r>
              <w:rPr>
                <w:sz w:val="20"/>
              </w:rPr>
              <w:t xml:space="preserve">x</w:t>
            </w:r>
          </w:p>
        </w:tc>
        <w:tc>
          <w:tcPr>
            <w:tcW w:w="907" w:type="dxa"/>
          </w:tcPr>
          <w:p>
            <w:pPr>
              <w:pStyle w:val="0"/>
            </w:pPr>
            <w:r>
              <w:rPr>
                <w:sz w:val="20"/>
              </w:rPr>
            </w:r>
          </w:p>
        </w:tc>
        <w:tc>
          <w:tcPr>
            <w:tcW w:w="1138" w:type="dxa"/>
          </w:tcPr>
          <w:p>
            <w:pPr>
              <w:pStyle w:val="0"/>
            </w:pPr>
            <w:r>
              <w:rPr>
                <w:sz w:val="20"/>
              </w:rPr>
            </w:r>
          </w:p>
        </w:tc>
        <w:tc>
          <w:tcPr>
            <w:tcW w:w="1020" w:type="dxa"/>
          </w:tcPr>
          <w:p>
            <w:pPr>
              <w:pStyle w:val="0"/>
              <w:jc w:val="center"/>
            </w:pPr>
            <w:r>
              <w:rPr>
                <w:sz w:val="20"/>
              </w:rPr>
              <w:t xml:space="preserve">x</w:t>
            </w:r>
          </w:p>
        </w:tc>
        <w:tc>
          <w:tcPr>
            <w:tcW w:w="907" w:type="dxa"/>
          </w:tcPr>
          <w:p>
            <w:pPr>
              <w:pStyle w:val="0"/>
              <w:jc w:val="center"/>
            </w:pPr>
            <w:r>
              <w:rPr>
                <w:sz w:val="20"/>
              </w:rPr>
              <w:t xml:space="preserve">x</w:t>
            </w:r>
          </w:p>
        </w:tc>
        <w:tc>
          <w:tcPr>
            <w:tcW w:w="624" w:type="dxa"/>
          </w:tcPr>
          <w:p>
            <w:pPr>
              <w:pStyle w:val="0"/>
              <w:jc w:val="center"/>
            </w:pPr>
            <w:r>
              <w:rPr>
                <w:sz w:val="20"/>
              </w:rPr>
              <w:t xml:space="preserve">x</w:t>
            </w:r>
          </w:p>
        </w:tc>
        <w:tc>
          <w:tcPr>
            <w:tcW w:w="907" w:type="dxa"/>
          </w:tcPr>
          <w:p>
            <w:pPr>
              <w:pStyle w:val="0"/>
              <w:jc w:val="center"/>
            </w:pPr>
            <w:r>
              <w:rPr>
                <w:sz w:val="20"/>
              </w:rPr>
              <w:t xml:space="preserve">x</w:t>
            </w:r>
          </w:p>
        </w:tc>
        <w:tc>
          <w:tcPr>
            <w:vMerge w:val="continue"/>
          </w:tcPr>
          <w:p/>
        </w:tc>
      </w:tr>
      <w:tr>
        <w:tc>
          <w:tcPr>
            <w:tcBorders>
              <w:left w:val="nil"/>
            </w:tcBorders>
            <w:vMerge w:val="continue"/>
          </w:tcPr>
          <w:p/>
        </w:tc>
        <w:tc>
          <w:tcPr>
            <w:vMerge w:val="continue"/>
          </w:tcPr>
          <w:p/>
        </w:tc>
        <w:tc>
          <w:tcPr>
            <w:tcW w:w="113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680" w:type="dxa"/>
          </w:tcPr>
          <w:p>
            <w:pPr>
              <w:pStyle w:val="0"/>
              <w:jc w:val="both"/>
            </w:pPr>
            <w:r>
              <w:rPr>
                <w:sz w:val="20"/>
              </w:rPr>
            </w:r>
          </w:p>
        </w:tc>
        <w:tc>
          <w:tcPr>
            <w:tcW w:w="680" w:type="dxa"/>
          </w:tcPr>
          <w:p>
            <w:pPr>
              <w:pStyle w:val="0"/>
              <w:jc w:val="center"/>
            </w:pPr>
            <w:r>
              <w:rPr>
                <w:sz w:val="20"/>
              </w:rPr>
              <w:t xml:space="preserve">0200</w:t>
            </w:r>
          </w:p>
        </w:tc>
        <w:tc>
          <w:tcPr>
            <w:tcW w:w="907" w:type="dxa"/>
          </w:tcPr>
          <w:p>
            <w:pPr>
              <w:pStyle w:val="0"/>
            </w:pPr>
            <w:r>
              <w:rPr>
                <w:sz w:val="20"/>
              </w:rPr>
            </w:r>
          </w:p>
        </w:tc>
        <w:tc>
          <w:tcPr>
            <w:tcW w:w="979" w:type="dxa"/>
          </w:tcPr>
          <w:p>
            <w:pPr>
              <w:pStyle w:val="0"/>
            </w:pPr>
            <w:r>
              <w:rPr>
                <w:sz w:val="20"/>
              </w:rPr>
            </w:r>
          </w:p>
        </w:tc>
        <w:tc>
          <w:tcPr>
            <w:tcW w:w="907" w:type="dxa"/>
          </w:tcPr>
          <w:p>
            <w:pPr>
              <w:pStyle w:val="0"/>
            </w:pPr>
            <w:r>
              <w:rPr>
                <w:sz w:val="20"/>
              </w:rPr>
            </w:r>
          </w:p>
        </w:tc>
        <w:tc>
          <w:tcPr>
            <w:tcW w:w="1138" w:type="dxa"/>
          </w:tcPr>
          <w:p>
            <w:pPr>
              <w:pStyle w:val="0"/>
            </w:pPr>
            <w:r>
              <w:rPr>
                <w:sz w:val="20"/>
              </w:rPr>
            </w:r>
          </w:p>
        </w:tc>
        <w:tc>
          <w:tcPr>
            <w:tcW w:w="1020" w:type="dxa"/>
          </w:tcPr>
          <w:p>
            <w:pPr>
              <w:pStyle w:val="0"/>
            </w:pPr>
            <w:r>
              <w:rPr>
                <w:sz w:val="20"/>
              </w:rPr>
            </w:r>
          </w:p>
        </w:tc>
        <w:tc>
          <w:tcPr>
            <w:tcW w:w="907" w:type="dxa"/>
          </w:tcPr>
          <w:p>
            <w:pPr>
              <w:pStyle w:val="0"/>
            </w:pPr>
            <w:r>
              <w:rPr>
                <w:sz w:val="20"/>
              </w:rPr>
            </w:r>
          </w:p>
        </w:tc>
        <w:tc>
          <w:tcPr>
            <w:tcW w:w="624" w:type="dxa"/>
          </w:tcPr>
          <w:p>
            <w:pPr>
              <w:pStyle w:val="0"/>
            </w:pPr>
            <w:r>
              <w:rPr>
                <w:sz w:val="20"/>
              </w:rPr>
            </w:r>
          </w:p>
        </w:tc>
        <w:tc>
          <w:tcPr>
            <w:tcW w:w="907" w:type="dxa"/>
          </w:tcPr>
          <w:p>
            <w:pPr>
              <w:pStyle w:val="0"/>
            </w:pPr>
            <w:r>
              <w:rPr>
                <w:sz w:val="20"/>
              </w:rPr>
            </w:r>
          </w:p>
        </w:tc>
        <w:tc>
          <w:tcPr>
            <w:tcW w:w="964" w:type="dxa"/>
            <w:vMerge w:val="restart"/>
          </w:tcPr>
          <w:p>
            <w:pPr>
              <w:pStyle w:val="0"/>
            </w:pPr>
            <w:r>
              <w:rPr>
                <w:sz w:val="20"/>
              </w:rPr>
            </w:r>
          </w:p>
        </w:tc>
      </w:tr>
      <w:tr>
        <w:tc>
          <w:tcPr>
            <w:tcBorders>
              <w:left w:val="nil"/>
            </w:tcBorders>
            <w:vMerge w:val="continue"/>
          </w:tcPr>
          <w:p/>
        </w:tc>
        <w:tc>
          <w:tcPr>
            <w:vMerge w:val="continue"/>
          </w:tcPr>
          <w:p/>
        </w:tc>
        <w:tc>
          <w:tcPr>
            <w:tcW w:w="1134" w:type="dxa"/>
          </w:tcPr>
          <w:p>
            <w:pPr>
              <w:pStyle w:val="0"/>
            </w:pPr>
            <w:r>
              <w:rPr>
                <w:sz w:val="20"/>
              </w:rPr>
              <w:t xml:space="preserve">в том числе:</w:t>
            </w:r>
          </w:p>
        </w:tc>
        <w:tc>
          <w:tcPr>
            <w:tcW w:w="907" w:type="dxa"/>
          </w:tcPr>
          <w:p>
            <w:pPr>
              <w:pStyle w:val="0"/>
            </w:pPr>
            <w:r>
              <w:rPr>
                <w:sz w:val="20"/>
              </w:rPr>
            </w:r>
          </w:p>
        </w:tc>
        <w:tc>
          <w:tcPr>
            <w:tcW w:w="850" w:type="dxa"/>
          </w:tcPr>
          <w:p>
            <w:pPr>
              <w:pStyle w:val="0"/>
            </w:pPr>
            <w:r>
              <w:rPr>
                <w:sz w:val="20"/>
              </w:rPr>
            </w:r>
          </w:p>
        </w:tc>
        <w:tc>
          <w:tcPr>
            <w:tcW w:w="680" w:type="dxa"/>
          </w:tcPr>
          <w:p>
            <w:pPr>
              <w:pStyle w:val="0"/>
              <w:jc w:val="both"/>
            </w:pPr>
            <w:r>
              <w:rPr>
                <w:sz w:val="20"/>
              </w:rPr>
            </w:r>
          </w:p>
        </w:tc>
        <w:tc>
          <w:tcPr>
            <w:tcW w:w="680" w:type="dxa"/>
          </w:tcPr>
          <w:p>
            <w:pPr>
              <w:pStyle w:val="0"/>
              <w:jc w:val="center"/>
            </w:pPr>
            <w:r>
              <w:rPr>
                <w:sz w:val="20"/>
              </w:rPr>
              <w:t xml:space="preserve">0201</w:t>
            </w:r>
          </w:p>
        </w:tc>
        <w:tc>
          <w:tcPr>
            <w:tcW w:w="907" w:type="dxa"/>
          </w:tcPr>
          <w:p>
            <w:pPr>
              <w:pStyle w:val="0"/>
              <w:jc w:val="center"/>
            </w:pPr>
            <w:r>
              <w:rPr>
                <w:sz w:val="20"/>
              </w:rPr>
              <w:t xml:space="preserve">x</w:t>
            </w:r>
          </w:p>
        </w:tc>
        <w:tc>
          <w:tcPr>
            <w:tcW w:w="979" w:type="dxa"/>
          </w:tcPr>
          <w:p>
            <w:pPr>
              <w:pStyle w:val="0"/>
              <w:jc w:val="center"/>
            </w:pPr>
            <w:r>
              <w:rPr>
                <w:sz w:val="20"/>
              </w:rPr>
              <w:t xml:space="preserve">x</w:t>
            </w:r>
          </w:p>
        </w:tc>
        <w:tc>
          <w:tcPr>
            <w:tcW w:w="907" w:type="dxa"/>
          </w:tcPr>
          <w:p>
            <w:pPr>
              <w:pStyle w:val="0"/>
            </w:pPr>
            <w:r>
              <w:rPr>
                <w:sz w:val="20"/>
              </w:rPr>
            </w:r>
          </w:p>
        </w:tc>
        <w:tc>
          <w:tcPr>
            <w:tcW w:w="1138" w:type="dxa"/>
          </w:tcPr>
          <w:p>
            <w:pPr>
              <w:pStyle w:val="0"/>
            </w:pPr>
            <w:r>
              <w:rPr>
                <w:sz w:val="20"/>
              </w:rPr>
            </w:r>
          </w:p>
        </w:tc>
        <w:tc>
          <w:tcPr>
            <w:tcW w:w="1020" w:type="dxa"/>
          </w:tcPr>
          <w:p>
            <w:pPr>
              <w:pStyle w:val="0"/>
              <w:jc w:val="center"/>
            </w:pPr>
            <w:r>
              <w:rPr>
                <w:sz w:val="20"/>
              </w:rPr>
              <w:t xml:space="preserve">x</w:t>
            </w:r>
          </w:p>
        </w:tc>
        <w:tc>
          <w:tcPr>
            <w:tcW w:w="907" w:type="dxa"/>
          </w:tcPr>
          <w:p>
            <w:pPr>
              <w:pStyle w:val="0"/>
              <w:jc w:val="center"/>
            </w:pPr>
            <w:r>
              <w:rPr>
                <w:sz w:val="20"/>
              </w:rPr>
              <w:t xml:space="preserve">x</w:t>
            </w:r>
          </w:p>
        </w:tc>
        <w:tc>
          <w:tcPr>
            <w:tcW w:w="624" w:type="dxa"/>
          </w:tcPr>
          <w:p>
            <w:pPr>
              <w:pStyle w:val="0"/>
              <w:jc w:val="center"/>
            </w:pPr>
            <w:r>
              <w:rPr>
                <w:sz w:val="20"/>
              </w:rPr>
              <w:t xml:space="preserve">x</w:t>
            </w:r>
          </w:p>
        </w:tc>
        <w:tc>
          <w:tcPr>
            <w:tcW w:w="907" w:type="dxa"/>
          </w:tcPr>
          <w:p>
            <w:pPr>
              <w:pStyle w:val="0"/>
              <w:jc w:val="center"/>
            </w:pPr>
            <w:r>
              <w:rPr>
                <w:sz w:val="20"/>
              </w:rPr>
              <w:t xml:space="preserve">x</w:t>
            </w:r>
          </w:p>
        </w:tc>
        <w:tc>
          <w:tcPr>
            <w:vMerge w:val="continue"/>
          </w:tcPr>
          <w:p/>
        </w:tc>
      </w:tr>
      <w:tr>
        <w:tc>
          <w:tcPr>
            <w:tcBorders>
              <w:left w:val="nil"/>
            </w:tcBorders>
            <w:vMerge w:val="continue"/>
          </w:tcPr>
          <w:p/>
        </w:tc>
        <w:tc>
          <w:tcPr>
            <w:vMerge w:val="continue"/>
          </w:tcPr>
          <w:p/>
        </w:tc>
        <w:tc>
          <w:tcPr>
            <w:tcW w:w="113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680" w:type="dxa"/>
          </w:tcPr>
          <w:p>
            <w:pPr>
              <w:pStyle w:val="0"/>
              <w:jc w:val="both"/>
            </w:pPr>
            <w:r>
              <w:rPr>
                <w:sz w:val="20"/>
              </w:rPr>
            </w:r>
          </w:p>
        </w:tc>
        <w:tc>
          <w:tcPr>
            <w:tcW w:w="680" w:type="dxa"/>
          </w:tcPr>
          <w:p>
            <w:pPr>
              <w:pStyle w:val="0"/>
            </w:pPr>
            <w:r>
              <w:rPr>
                <w:sz w:val="20"/>
              </w:rPr>
            </w:r>
          </w:p>
        </w:tc>
        <w:tc>
          <w:tcPr>
            <w:tcW w:w="907" w:type="dxa"/>
          </w:tcPr>
          <w:p>
            <w:pPr>
              <w:pStyle w:val="0"/>
              <w:jc w:val="center"/>
            </w:pPr>
            <w:r>
              <w:rPr>
                <w:sz w:val="20"/>
              </w:rPr>
              <w:t xml:space="preserve">x</w:t>
            </w:r>
          </w:p>
        </w:tc>
        <w:tc>
          <w:tcPr>
            <w:tcW w:w="979" w:type="dxa"/>
          </w:tcPr>
          <w:p>
            <w:pPr>
              <w:pStyle w:val="0"/>
              <w:jc w:val="center"/>
            </w:pPr>
            <w:r>
              <w:rPr>
                <w:sz w:val="20"/>
              </w:rPr>
              <w:t xml:space="preserve">x</w:t>
            </w:r>
          </w:p>
        </w:tc>
        <w:tc>
          <w:tcPr>
            <w:tcW w:w="907" w:type="dxa"/>
          </w:tcPr>
          <w:p>
            <w:pPr>
              <w:pStyle w:val="0"/>
            </w:pPr>
            <w:r>
              <w:rPr>
                <w:sz w:val="20"/>
              </w:rPr>
            </w:r>
          </w:p>
        </w:tc>
        <w:tc>
          <w:tcPr>
            <w:tcW w:w="1138" w:type="dxa"/>
          </w:tcPr>
          <w:p>
            <w:pPr>
              <w:pStyle w:val="0"/>
            </w:pPr>
            <w:r>
              <w:rPr>
                <w:sz w:val="20"/>
              </w:rPr>
            </w:r>
          </w:p>
        </w:tc>
        <w:tc>
          <w:tcPr>
            <w:tcW w:w="1020" w:type="dxa"/>
          </w:tcPr>
          <w:p>
            <w:pPr>
              <w:pStyle w:val="0"/>
              <w:jc w:val="center"/>
            </w:pPr>
            <w:r>
              <w:rPr>
                <w:sz w:val="20"/>
              </w:rPr>
              <w:t xml:space="preserve">x</w:t>
            </w:r>
          </w:p>
        </w:tc>
        <w:tc>
          <w:tcPr>
            <w:tcW w:w="907" w:type="dxa"/>
          </w:tcPr>
          <w:p>
            <w:pPr>
              <w:pStyle w:val="0"/>
              <w:jc w:val="center"/>
            </w:pPr>
            <w:r>
              <w:rPr>
                <w:sz w:val="20"/>
              </w:rPr>
              <w:t xml:space="preserve">x</w:t>
            </w:r>
          </w:p>
        </w:tc>
        <w:tc>
          <w:tcPr>
            <w:tcW w:w="624" w:type="dxa"/>
          </w:tcPr>
          <w:p>
            <w:pPr>
              <w:pStyle w:val="0"/>
              <w:jc w:val="center"/>
            </w:pPr>
            <w:r>
              <w:rPr>
                <w:sz w:val="20"/>
              </w:rPr>
              <w:t xml:space="preserve">x</w:t>
            </w:r>
          </w:p>
        </w:tc>
        <w:tc>
          <w:tcPr>
            <w:tcW w:w="907" w:type="dxa"/>
          </w:tcPr>
          <w:p>
            <w:pPr>
              <w:pStyle w:val="0"/>
              <w:jc w:val="center"/>
            </w:pPr>
            <w:r>
              <w:rPr>
                <w:sz w:val="20"/>
              </w:rPr>
              <w:t xml:space="preserve">x</w:t>
            </w:r>
          </w:p>
        </w:tc>
        <w:tc>
          <w:tcPr>
            <w:vMerge w:val="continue"/>
          </w:tcPr>
          <w:p/>
        </w:tc>
      </w:tr>
    </w:tbl>
    <w:p>
      <w:pPr>
        <w:pStyle w:val="0"/>
        <w:jc w:val="both"/>
      </w:pPr>
      <w:r>
        <w:rPr>
          <w:sz w:val="20"/>
        </w:rPr>
      </w:r>
    </w:p>
    <w:tbl>
      <w:tblPr>
        <w:tblInd w:w="0" w:type="dxa"/>
        <w:tblW w:w="5000" w:type="pct"/>
        <w:tblBorders>
          <w:top w:val="single" w:sz="4"/>
          <w:left w:val="single" w:sz="4"/>
          <w:bottom w:val="single" w:sz="4"/>
          <w:insideV w:val="single" w:sz="4"/>
          <w:insideH w:val="single" w:sz="4"/>
        </w:tblBorders>
        <w:tblCellMar>
          <w:top w:w="102" w:type="dxa"/>
          <w:left w:w="62" w:type="dxa"/>
          <w:bottom w:w="102" w:type="dxa"/>
          <w:right w:w="62" w:type="dxa"/>
        </w:tblCellMar>
      </w:tblPr>
      <w:tblGrid>
        <w:gridCol w:w="811"/>
        <w:gridCol w:w="737"/>
        <w:gridCol w:w="1361"/>
        <w:gridCol w:w="763"/>
        <w:gridCol w:w="1361"/>
        <w:gridCol w:w="680"/>
        <w:gridCol w:w="1361"/>
        <w:gridCol w:w="680"/>
        <w:gridCol w:w="1361"/>
        <w:gridCol w:w="680"/>
        <w:gridCol w:w="1361"/>
        <w:gridCol w:w="680"/>
        <w:gridCol w:w="1361"/>
        <w:gridCol w:w="680"/>
        <w:gridCol w:w="1361"/>
        <w:gridCol w:w="680"/>
        <w:gridCol w:w="1361"/>
      </w:tblGrid>
      <w:tr>
        <w:tc>
          <w:tcPr>
            <w:tcW w:w="811" w:type="dxa"/>
            <w:vMerge w:val="restart"/>
          </w:tcPr>
          <w:p>
            <w:pPr>
              <w:pStyle w:val="0"/>
              <w:jc w:val="center"/>
            </w:pPr>
            <w:r>
              <w:rPr>
                <w:sz w:val="20"/>
              </w:rPr>
              <w:t xml:space="preserve">Код строки</w:t>
            </w:r>
          </w:p>
        </w:tc>
        <w:tc>
          <w:tcPr>
            <w:gridSpan w:val="4"/>
            <w:tcW w:w="4222" w:type="dxa"/>
            <w:vMerge w:val="restart"/>
          </w:tcPr>
          <w:p>
            <w:pPr>
              <w:pStyle w:val="0"/>
              <w:jc w:val="center"/>
            </w:pPr>
            <w:r>
              <w:rPr>
                <w:sz w:val="20"/>
              </w:rPr>
              <w:t xml:space="preserve">всего</w:t>
            </w:r>
          </w:p>
        </w:tc>
        <w:tc>
          <w:tcPr>
            <w:gridSpan w:val="12"/>
            <w:tcW w:w="12246" w:type="dxa"/>
            <w:tcBorders>
              <w:right w:val="nil"/>
            </w:tcBorders>
          </w:tcPr>
          <w:p>
            <w:pPr>
              <w:pStyle w:val="0"/>
              <w:jc w:val="center"/>
            </w:pPr>
            <w:r>
              <w:rPr>
                <w:sz w:val="20"/>
              </w:rPr>
              <w:t xml:space="preserve">Объем обязательств, принятых в целях достижения результатов предоставления Иного межбюджетного трансферта, руб</w:t>
            </w:r>
          </w:p>
        </w:tc>
      </w:tr>
      <w:tr>
        <w:tc>
          <w:tcPr>
            <w:vMerge w:val="continue"/>
          </w:tcPr>
          <w:p/>
        </w:tc>
        <w:tc>
          <w:tcPr>
            <w:gridSpan w:val="4"/>
            <w:vMerge w:val="continue"/>
          </w:tcPr>
          <w:p/>
        </w:tc>
        <w:tc>
          <w:tcPr>
            <w:gridSpan w:val="12"/>
            <w:tcW w:w="12246" w:type="dxa"/>
            <w:tcBorders>
              <w:right w:val="nil"/>
            </w:tcBorders>
          </w:tcPr>
          <w:p>
            <w:pPr>
              <w:pStyle w:val="0"/>
              <w:jc w:val="center"/>
            </w:pPr>
            <w:r>
              <w:rPr>
                <w:sz w:val="20"/>
              </w:rPr>
              <w:t xml:space="preserve">в том числе:</w:t>
            </w:r>
          </w:p>
        </w:tc>
      </w:tr>
      <w:tr>
        <w:tc>
          <w:tcPr>
            <w:vMerge w:val="continue"/>
          </w:tcPr>
          <w:p/>
        </w:tc>
        <w:tc>
          <w:tcPr>
            <w:gridSpan w:val="4"/>
            <w:vMerge w:val="continue"/>
          </w:tcPr>
          <w:p/>
        </w:tc>
        <w:tc>
          <w:tcPr>
            <w:gridSpan w:val="4"/>
            <w:tcW w:w="4082" w:type="dxa"/>
          </w:tcPr>
          <w:p>
            <w:pPr>
              <w:pStyle w:val="0"/>
              <w:jc w:val="center"/>
            </w:pPr>
            <w:r>
              <w:rPr>
                <w:sz w:val="20"/>
              </w:rPr>
              <w:t xml:space="preserve">получателями средств бюджета субъекта Российской Федерации</w:t>
            </w:r>
          </w:p>
        </w:tc>
        <w:tc>
          <w:tcPr>
            <w:gridSpan w:val="4"/>
            <w:tcW w:w="4082" w:type="dxa"/>
          </w:tcPr>
          <w:p>
            <w:pPr>
              <w:pStyle w:val="0"/>
              <w:jc w:val="center"/>
            </w:pPr>
            <w:r>
              <w:rPr>
                <w:sz w:val="20"/>
              </w:rPr>
              <w:t xml:space="preserve">получателями субсидий (бюджетных инвестиций) из бюджета субъекта Российской Федерации</w:t>
            </w:r>
          </w:p>
        </w:tc>
        <w:tc>
          <w:tcPr>
            <w:gridSpan w:val="4"/>
            <w:tcW w:w="4082" w:type="dxa"/>
            <w:tcBorders>
              <w:right w:val="nil"/>
            </w:tcBorders>
          </w:tcPr>
          <w:p>
            <w:pPr>
              <w:pStyle w:val="0"/>
              <w:jc w:val="center"/>
            </w:pPr>
            <w:r>
              <w:rPr>
                <w:sz w:val="20"/>
              </w:rPr>
              <w:t xml:space="preserve">общий объем обязательств муниципальных образований, в размере софинансирования из бюджета субъекта Российской Федерации </w:t>
            </w:r>
            <w:hyperlink w:history="0" w:anchor="P2272" w:tooltip="&lt;19&gt; В графах 28 и 30 раздела 2.1 указываются соответственно показатели граф 17 и 19 раздела 2.2.">
              <w:r>
                <w:rPr>
                  <w:sz w:val="20"/>
                  <w:color w:val="0000ff"/>
                </w:rPr>
                <w:t xml:space="preserve">&lt;19&gt;</w:t>
              </w:r>
            </w:hyperlink>
          </w:p>
        </w:tc>
      </w:tr>
      <w:tr>
        <w:tc>
          <w:tcPr>
            <w:vMerge w:val="continue"/>
          </w:tcPr>
          <w:p/>
        </w:tc>
        <w:tc>
          <w:tcPr>
            <w:gridSpan w:val="2"/>
            <w:tcW w:w="2098" w:type="dxa"/>
          </w:tcPr>
          <w:p>
            <w:pPr>
              <w:pStyle w:val="0"/>
              <w:jc w:val="center"/>
            </w:pPr>
            <w:r>
              <w:rPr>
                <w:sz w:val="20"/>
              </w:rPr>
              <w:t xml:space="preserve">обязательств</w:t>
            </w:r>
          </w:p>
        </w:tc>
        <w:tc>
          <w:tcPr>
            <w:gridSpan w:val="2"/>
            <w:tcW w:w="2124" w:type="dxa"/>
          </w:tcPr>
          <w:p>
            <w:pPr>
              <w:pStyle w:val="0"/>
              <w:jc w:val="center"/>
            </w:pPr>
            <w:r>
              <w:rPr>
                <w:sz w:val="20"/>
              </w:rPr>
              <w:t xml:space="preserve">денежных обязательств</w:t>
            </w:r>
          </w:p>
        </w:tc>
        <w:tc>
          <w:tcPr>
            <w:gridSpan w:val="2"/>
            <w:tcW w:w="2041" w:type="dxa"/>
          </w:tcPr>
          <w:p>
            <w:pPr>
              <w:pStyle w:val="0"/>
              <w:jc w:val="center"/>
            </w:pPr>
            <w:r>
              <w:rPr>
                <w:sz w:val="20"/>
              </w:rPr>
              <w:t xml:space="preserve">бюджетных обязательств </w:t>
            </w:r>
            <w:hyperlink w:history="0" w:anchor="P2268" w:tooltip="&lt;15&gt; Указывается объем бюджетных обязательств, принятых получателями средств бюджета субъекта Российской Федерации на отчетную дату в целях достижения значений результата предоставления Иного межбюджетного трансферта, без учета обязательств по предоставлению из бюджета субъекта Российской Федерации межбюджетных трансфертов местным бюджетам, бюджетных инвестиций юридическим лицам и субсидий юридическим лицам, индивидуальным предпринимателям, физическим лицам - производителям товаров, работ, услуг (далее -...">
              <w:r>
                <w:rPr>
                  <w:sz w:val="20"/>
                  <w:color w:val="0000ff"/>
                </w:rPr>
                <w:t xml:space="preserve">&lt;15&gt;</w:t>
              </w:r>
            </w:hyperlink>
          </w:p>
        </w:tc>
        <w:tc>
          <w:tcPr>
            <w:gridSpan w:val="2"/>
            <w:tcW w:w="2041" w:type="dxa"/>
          </w:tcPr>
          <w:p>
            <w:pPr>
              <w:pStyle w:val="0"/>
              <w:jc w:val="center"/>
            </w:pPr>
            <w:r>
              <w:rPr>
                <w:sz w:val="20"/>
              </w:rPr>
              <w:t xml:space="preserve">денежных обязательств </w:t>
            </w:r>
            <w:hyperlink w:history="0" w:anchor="P2269" w:tooltip="&lt;16&gt; Указывается объем денежных обязательств (за исключением авансов), принятых получателями средств бюджета субъекта Российской Федерации на отчетную дату в целях достижения значений результата предоставления Иного межбюджетного трансферта, без учета обязательств по предоставлению из бюджета субъекта Российской Федерации межбюджетных трансфертов местным бюджетам и субсидий (бюджетных инвестиций) получателям субсидий (бюджетных инвестиций).">
              <w:r>
                <w:rPr>
                  <w:sz w:val="20"/>
                  <w:color w:val="0000ff"/>
                </w:rPr>
                <w:t xml:space="preserve">&lt;16&gt;</w:t>
              </w:r>
            </w:hyperlink>
          </w:p>
        </w:tc>
        <w:tc>
          <w:tcPr>
            <w:gridSpan w:val="2"/>
            <w:tcW w:w="2041" w:type="dxa"/>
          </w:tcPr>
          <w:p>
            <w:pPr>
              <w:pStyle w:val="0"/>
              <w:jc w:val="center"/>
            </w:pPr>
            <w:r>
              <w:rPr>
                <w:sz w:val="20"/>
              </w:rPr>
              <w:t xml:space="preserve">обязательств </w:t>
            </w:r>
            <w:hyperlink w:history="0" w:anchor="P2270" w:tooltip="&lt;17&gt; Указывается объем обязательств, принятых получателями субсидий (бюджетных инвестиций) на отчетную дату. Показатель формируется на основании представленных получателями субсидий (бюджетных инвестиций) отчетов о достижении значений результатов предоставления субсидии в соответствии с заключенными соглашениями (договорами).">
              <w:r>
                <w:rPr>
                  <w:sz w:val="20"/>
                  <w:color w:val="0000ff"/>
                </w:rPr>
                <w:t xml:space="preserve">&lt;17&gt;</w:t>
              </w:r>
            </w:hyperlink>
          </w:p>
        </w:tc>
        <w:tc>
          <w:tcPr>
            <w:gridSpan w:val="2"/>
            <w:tcW w:w="2041" w:type="dxa"/>
          </w:tcPr>
          <w:p>
            <w:pPr>
              <w:pStyle w:val="0"/>
              <w:jc w:val="center"/>
            </w:pPr>
            <w:r>
              <w:rPr>
                <w:sz w:val="20"/>
              </w:rPr>
              <w:t xml:space="preserve">денежных обязательств </w:t>
            </w:r>
            <w:hyperlink w:history="0" w:anchor="P2271" w:tooltip="&lt;18&gt; Указывается объем денежных обязательств (за исключением авансов), принятых получателями субсидий (бюджетных инвестиций) на отчетную дату. Показатель формируется на основании представленных получателями субсидий (бюджетных инвестиций) отчетов о достижении значений результатов предоставления субсидий (бюджетных инвестиций) в соответствии с заключенными соглашениями (договорами).">
              <w:r>
                <w:rPr>
                  <w:sz w:val="20"/>
                  <w:color w:val="0000ff"/>
                </w:rPr>
                <w:t xml:space="preserve">&lt;18&gt;</w:t>
              </w:r>
            </w:hyperlink>
          </w:p>
        </w:tc>
        <w:tc>
          <w:tcPr>
            <w:gridSpan w:val="2"/>
            <w:tcW w:w="2041" w:type="dxa"/>
          </w:tcPr>
          <w:p>
            <w:pPr>
              <w:pStyle w:val="0"/>
              <w:jc w:val="center"/>
            </w:pPr>
            <w:r>
              <w:rPr>
                <w:sz w:val="20"/>
              </w:rPr>
              <w:t xml:space="preserve">обязательств</w:t>
            </w:r>
          </w:p>
        </w:tc>
        <w:tc>
          <w:tcPr>
            <w:gridSpan w:val="2"/>
            <w:tcW w:w="2041" w:type="dxa"/>
            <w:tcBorders>
              <w:right w:val="nil"/>
            </w:tcBorders>
          </w:tcPr>
          <w:p>
            <w:pPr>
              <w:pStyle w:val="0"/>
              <w:jc w:val="center"/>
            </w:pPr>
            <w:r>
              <w:rPr>
                <w:sz w:val="20"/>
              </w:rPr>
              <w:t xml:space="preserve">денежных обязательств</w:t>
            </w:r>
          </w:p>
        </w:tc>
      </w:tr>
      <w:tr>
        <w:tc>
          <w:tcPr>
            <w:vMerge w:val="continue"/>
          </w:tcPr>
          <w:p/>
        </w:tc>
        <w:tc>
          <w:tcPr>
            <w:tcW w:w="737" w:type="dxa"/>
          </w:tcPr>
          <w:p>
            <w:pPr>
              <w:pStyle w:val="0"/>
              <w:jc w:val="center"/>
            </w:pPr>
            <w:r>
              <w:rPr>
                <w:sz w:val="20"/>
              </w:rPr>
              <w:t xml:space="preserve">всего (</w:t>
            </w:r>
            <w:hyperlink w:history="0" w:anchor="P1944" w:tooltip="20">
              <w:r>
                <w:rPr>
                  <w:sz w:val="20"/>
                  <w:color w:val="0000ff"/>
                </w:rPr>
                <w:t xml:space="preserve">гр. 20</w:t>
              </w:r>
            </w:hyperlink>
            <w:r>
              <w:rPr>
                <w:sz w:val="20"/>
              </w:rPr>
              <w:t xml:space="preserve"> + </w:t>
            </w:r>
            <w:hyperlink w:history="0" w:anchor="P1948" w:tooltip="24">
              <w:r>
                <w:rPr>
                  <w:sz w:val="20"/>
                  <w:color w:val="0000ff"/>
                </w:rPr>
                <w:t xml:space="preserve">гр. 24</w:t>
              </w:r>
            </w:hyperlink>
            <w:r>
              <w:rPr>
                <w:sz w:val="20"/>
              </w:rPr>
              <w:t xml:space="preserve"> + </w:t>
            </w:r>
            <w:hyperlink w:history="0" w:anchor="P1952" w:tooltip="28">
              <w:r>
                <w:rPr>
                  <w:sz w:val="20"/>
                  <w:color w:val="0000ff"/>
                </w:rPr>
                <w:t xml:space="preserve">гр. 28</w:t>
              </w:r>
            </w:hyperlink>
            <w:r>
              <w:rPr>
                <w:sz w:val="20"/>
              </w:rPr>
              <w:t xml:space="preserve">)</w:t>
            </w:r>
          </w:p>
        </w:tc>
        <w:tc>
          <w:tcPr>
            <w:tcW w:w="1361" w:type="dxa"/>
          </w:tcPr>
          <w:p>
            <w:pPr>
              <w:pStyle w:val="0"/>
              <w:jc w:val="center"/>
            </w:pPr>
            <w:r>
              <w:rPr>
                <w:sz w:val="20"/>
              </w:rPr>
              <w:t xml:space="preserve">из них в размере софинансирования из федерального бюджета (</w:t>
            </w:r>
            <w:hyperlink w:history="0" w:anchor="P1945" w:tooltip="21">
              <w:r>
                <w:rPr>
                  <w:sz w:val="20"/>
                  <w:color w:val="0000ff"/>
                </w:rPr>
                <w:t xml:space="preserve">гр. 21</w:t>
              </w:r>
            </w:hyperlink>
            <w:r>
              <w:rPr>
                <w:sz w:val="20"/>
              </w:rPr>
              <w:t xml:space="preserve"> + </w:t>
            </w:r>
            <w:hyperlink w:history="0" w:anchor="P1949" w:tooltip="25">
              <w:r>
                <w:rPr>
                  <w:sz w:val="20"/>
                  <w:color w:val="0000ff"/>
                </w:rPr>
                <w:t xml:space="preserve">гр. 25</w:t>
              </w:r>
            </w:hyperlink>
            <w:r>
              <w:rPr>
                <w:sz w:val="20"/>
              </w:rPr>
              <w:t xml:space="preserve"> + </w:t>
            </w:r>
            <w:hyperlink w:history="0" w:anchor="P1953" w:tooltip="29">
              <w:r>
                <w:rPr>
                  <w:sz w:val="20"/>
                  <w:color w:val="0000ff"/>
                </w:rPr>
                <w:t xml:space="preserve">гр. 29</w:t>
              </w:r>
            </w:hyperlink>
            <w:r>
              <w:rPr>
                <w:sz w:val="20"/>
              </w:rPr>
              <w:t xml:space="preserve">)</w:t>
            </w:r>
          </w:p>
        </w:tc>
        <w:tc>
          <w:tcPr>
            <w:tcW w:w="763" w:type="dxa"/>
          </w:tcPr>
          <w:p>
            <w:pPr>
              <w:pStyle w:val="0"/>
              <w:jc w:val="center"/>
            </w:pPr>
            <w:r>
              <w:rPr>
                <w:sz w:val="20"/>
              </w:rPr>
              <w:t xml:space="preserve">всего (</w:t>
            </w:r>
            <w:hyperlink w:history="0" w:anchor="P1946" w:tooltip="22">
              <w:r>
                <w:rPr>
                  <w:sz w:val="20"/>
                  <w:color w:val="0000ff"/>
                </w:rPr>
                <w:t xml:space="preserve">гр. 22</w:t>
              </w:r>
            </w:hyperlink>
            <w:r>
              <w:rPr>
                <w:sz w:val="20"/>
              </w:rPr>
              <w:t xml:space="preserve"> + </w:t>
            </w:r>
            <w:hyperlink w:history="0" w:anchor="P1950" w:tooltip="26">
              <w:r>
                <w:rPr>
                  <w:sz w:val="20"/>
                  <w:color w:val="0000ff"/>
                </w:rPr>
                <w:t xml:space="preserve">гр. 26</w:t>
              </w:r>
            </w:hyperlink>
            <w:r>
              <w:rPr>
                <w:sz w:val="20"/>
              </w:rPr>
              <w:t xml:space="preserve"> + </w:t>
            </w:r>
            <w:hyperlink w:history="0" w:anchor="P1954" w:tooltip="30">
              <w:r>
                <w:rPr>
                  <w:sz w:val="20"/>
                  <w:color w:val="0000ff"/>
                </w:rPr>
                <w:t xml:space="preserve">гр. 30</w:t>
              </w:r>
            </w:hyperlink>
            <w:r>
              <w:rPr>
                <w:sz w:val="20"/>
              </w:rPr>
              <w:t xml:space="preserve">)</w:t>
            </w:r>
          </w:p>
        </w:tc>
        <w:tc>
          <w:tcPr>
            <w:tcW w:w="1361" w:type="dxa"/>
          </w:tcPr>
          <w:p>
            <w:pPr>
              <w:pStyle w:val="0"/>
              <w:jc w:val="center"/>
            </w:pPr>
            <w:r>
              <w:rPr>
                <w:sz w:val="20"/>
              </w:rPr>
              <w:t xml:space="preserve">из них в размере софинансирования из федерального бюджета (</w:t>
            </w:r>
            <w:hyperlink w:history="0" w:anchor="P1947" w:tooltip="23">
              <w:r>
                <w:rPr>
                  <w:sz w:val="20"/>
                  <w:color w:val="0000ff"/>
                </w:rPr>
                <w:t xml:space="preserve">гр. 23</w:t>
              </w:r>
            </w:hyperlink>
            <w:r>
              <w:rPr>
                <w:sz w:val="20"/>
              </w:rPr>
              <w:t xml:space="preserve"> + </w:t>
            </w:r>
            <w:hyperlink w:history="0" w:anchor="P1951" w:tooltip="27">
              <w:r>
                <w:rPr>
                  <w:sz w:val="20"/>
                  <w:color w:val="0000ff"/>
                </w:rPr>
                <w:t xml:space="preserve">гр. 27</w:t>
              </w:r>
            </w:hyperlink>
            <w:r>
              <w:rPr>
                <w:sz w:val="20"/>
              </w:rPr>
              <w:t xml:space="preserve"> + </w:t>
            </w:r>
            <w:hyperlink w:history="0" w:anchor="P1955" w:tooltip="31">
              <w:r>
                <w:rPr>
                  <w:sz w:val="20"/>
                  <w:color w:val="0000ff"/>
                </w:rPr>
                <w:t xml:space="preserve">гр. 31</w:t>
              </w:r>
            </w:hyperlink>
            <w:r>
              <w:rPr>
                <w:sz w:val="20"/>
              </w:rPr>
              <w:t xml:space="preserve">)</w:t>
            </w:r>
          </w:p>
        </w:tc>
        <w:tc>
          <w:tcPr>
            <w:tcW w:w="680" w:type="dxa"/>
          </w:tcPr>
          <w:p>
            <w:pPr>
              <w:pStyle w:val="0"/>
              <w:jc w:val="center"/>
            </w:pPr>
            <w:r>
              <w:rPr>
                <w:sz w:val="20"/>
              </w:rPr>
              <w:t xml:space="preserve">всего</w:t>
            </w:r>
          </w:p>
        </w:tc>
        <w:tc>
          <w:tcPr>
            <w:tcW w:w="1361" w:type="dxa"/>
          </w:tcPr>
          <w:p>
            <w:pPr>
              <w:pStyle w:val="0"/>
              <w:jc w:val="center"/>
            </w:pPr>
            <w:r>
              <w:rPr>
                <w:sz w:val="20"/>
              </w:rPr>
              <w:t xml:space="preserve">из них в размере софинансирования из федерального бюджета</w:t>
            </w:r>
          </w:p>
        </w:tc>
        <w:tc>
          <w:tcPr>
            <w:tcW w:w="680" w:type="dxa"/>
          </w:tcPr>
          <w:p>
            <w:pPr>
              <w:pStyle w:val="0"/>
              <w:jc w:val="center"/>
            </w:pPr>
            <w:r>
              <w:rPr>
                <w:sz w:val="20"/>
              </w:rPr>
              <w:t xml:space="preserve">всего</w:t>
            </w:r>
          </w:p>
        </w:tc>
        <w:tc>
          <w:tcPr>
            <w:tcW w:w="1361" w:type="dxa"/>
          </w:tcPr>
          <w:p>
            <w:pPr>
              <w:pStyle w:val="0"/>
              <w:jc w:val="center"/>
            </w:pPr>
            <w:r>
              <w:rPr>
                <w:sz w:val="20"/>
              </w:rPr>
              <w:t xml:space="preserve">из них в размере софинансирования из федерального бюджета</w:t>
            </w:r>
          </w:p>
        </w:tc>
        <w:tc>
          <w:tcPr>
            <w:tcW w:w="680" w:type="dxa"/>
          </w:tcPr>
          <w:p>
            <w:pPr>
              <w:pStyle w:val="0"/>
              <w:jc w:val="center"/>
            </w:pPr>
            <w:r>
              <w:rPr>
                <w:sz w:val="20"/>
              </w:rPr>
              <w:t xml:space="preserve">всего</w:t>
            </w:r>
          </w:p>
        </w:tc>
        <w:tc>
          <w:tcPr>
            <w:tcW w:w="1361" w:type="dxa"/>
          </w:tcPr>
          <w:p>
            <w:pPr>
              <w:pStyle w:val="0"/>
              <w:jc w:val="center"/>
            </w:pPr>
            <w:r>
              <w:rPr>
                <w:sz w:val="20"/>
              </w:rPr>
              <w:t xml:space="preserve">из них в размере софинансирования из федерального бюджета</w:t>
            </w:r>
          </w:p>
        </w:tc>
        <w:tc>
          <w:tcPr>
            <w:tcW w:w="680" w:type="dxa"/>
          </w:tcPr>
          <w:p>
            <w:pPr>
              <w:pStyle w:val="0"/>
              <w:jc w:val="center"/>
            </w:pPr>
            <w:r>
              <w:rPr>
                <w:sz w:val="20"/>
              </w:rPr>
              <w:t xml:space="preserve">всего</w:t>
            </w:r>
          </w:p>
        </w:tc>
        <w:tc>
          <w:tcPr>
            <w:tcW w:w="1361" w:type="dxa"/>
          </w:tcPr>
          <w:p>
            <w:pPr>
              <w:pStyle w:val="0"/>
              <w:jc w:val="center"/>
            </w:pPr>
            <w:r>
              <w:rPr>
                <w:sz w:val="20"/>
              </w:rPr>
              <w:t xml:space="preserve">из них в размере софинансирования из федерального бюджета</w:t>
            </w:r>
          </w:p>
        </w:tc>
        <w:tc>
          <w:tcPr>
            <w:tcW w:w="680" w:type="dxa"/>
          </w:tcPr>
          <w:p>
            <w:pPr>
              <w:pStyle w:val="0"/>
              <w:jc w:val="center"/>
            </w:pPr>
            <w:r>
              <w:rPr>
                <w:sz w:val="20"/>
              </w:rPr>
              <w:t xml:space="preserve">всего</w:t>
            </w:r>
          </w:p>
        </w:tc>
        <w:tc>
          <w:tcPr>
            <w:tcW w:w="1361" w:type="dxa"/>
          </w:tcPr>
          <w:p>
            <w:pPr>
              <w:pStyle w:val="0"/>
              <w:jc w:val="center"/>
            </w:pPr>
            <w:r>
              <w:rPr>
                <w:sz w:val="20"/>
              </w:rPr>
              <w:t xml:space="preserve">из них в размере софинансирования из федерального бюджета</w:t>
            </w:r>
          </w:p>
        </w:tc>
        <w:tc>
          <w:tcPr>
            <w:tcW w:w="680" w:type="dxa"/>
          </w:tcPr>
          <w:p>
            <w:pPr>
              <w:pStyle w:val="0"/>
              <w:jc w:val="center"/>
            </w:pPr>
            <w:r>
              <w:rPr>
                <w:sz w:val="20"/>
              </w:rPr>
              <w:t xml:space="preserve">всего</w:t>
            </w:r>
          </w:p>
        </w:tc>
        <w:tc>
          <w:tcPr>
            <w:tcW w:w="1361" w:type="dxa"/>
            <w:tcBorders>
              <w:right w:val="nil"/>
            </w:tcBorders>
          </w:tcPr>
          <w:p>
            <w:pPr>
              <w:pStyle w:val="0"/>
              <w:jc w:val="center"/>
            </w:pPr>
            <w:r>
              <w:rPr>
                <w:sz w:val="20"/>
              </w:rPr>
              <w:t xml:space="preserve">из них в размере софинансирования из федерального бюджета</w:t>
            </w:r>
          </w:p>
        </w:tc>
      </w:tr>
      <w:tr>
        <w:tc>
          <w:tcPr>
            <w:tcW w:w="811" w:type="dxa"/>
          </w:tcPr>
          <w:p>
            <w:pPr>
              <w:pStyle w:val="0"/>
              <w:jc w:val="center"/>
            </w:pPr>
            <w:r>
              <w:rPr>
                <w:sz w:val="20"/>
              </w:rPr>
              <w:t xml:space="preserve">6</w:t>
            </w:r>
          </w:p>
        </w:tc>
        <w:tc>
          <w:tcPr>
            <w:tcW w:w="737" w:type="dxa"/>
          </w:tcPr>
          <w:bookmarkStart w:id="1940" w:name="P1940"/>
          <w:bookmarkEnd w:id="1940"/>
          <w:p>
            <w:pPr>
              <w:pStyle w:val="0"/>
              <w:jc w:val="center"/>
            </w:pPr>
            <w:r>
              <w:rPr>
                <w:sz w:val="20"/>
              </w:rPr>
              <w:t xml:space="preserve">16</w:t>
            </w:r>
          </w:p>
        </w:tc>
        <w:tc>
          <w:tcPr>
            <w:tcW w:w="1361" w:type="dxa"/>
          </w:tcPr>
          <w:bookmarkStart w:id="1941" w:name="P1941"/>
          <w:bookmarkEnd w:id="1941"/>
          <w:p>
            <w:pPr>
              <w:pStyle w:val="0"/>
              <w:jc w:val="center"/>
            </w:pPr>
            <w:r>
              <w:rPr>
                <w:sz w:val="20"/>
              </w:rPr>
              <w:t xml:space="preserve">17</w:t>
            </w:r>
          </w:p>
        </w:tc>
        <w:tc>
          <w:tcPr>
            <w:tcW w:w="763" w:type="dxa"/>
          </w:tcPr>
          <w:bookmarkStart w:id="1942" w:name="P1942"/>
          <w:bookmarkEnd w:id="1942"/>
          <w:p>
            <w:pPr>
              <w:pStyle w:val="0"/>
              <w:jc w:val="center"/>
            </w:pPr>
            <w:r>
              <w:rPr>
                <w:sz w:val="20"/>
              </w:rPr>
              <w:t xml:space="preserve">18</w:t>
            </w:r>
          </w:p>
        </w:tc>
        <w:tc>
          <w:tcPr>
            <w:tcW w:w="1361" w:type="dxa"/>
          </w:tcPr>
          <w:bookmarkStart w:id="1943" w:name="P1943"/>
          <w:bookmarkEnd w:id="1943"/>
          <w:p>
            <w:pPr>
              <w:pStyle w:val="0"/>
              <w:jc w:val="center"/>
            </w:pPr>
            <w:r>
              <w:rPr>
                <w:sz w:val="20"/>
              </w:rPr>
              <w:t xml:space="preserve">19</w:t>
            </w:r>
          </w:p>
        </w:tc>
        <w:tc>
          <w:tcPr>
            <w:tcW w:w="680" w:type="dxa"/>
          </w:tcPr>
          <w:bookmarkStart w:id="1944" w:name="P1944"/>
          <w:bookmarkEnd w:id="1944"/>
          <w:p>
            <w:pPr>
              <w:pStyle w:val="0"/>
              <w:jc w:val="center"/>
            </w:pPr>
            <w:r>
              <w:rPr>
                <w:sz w:val="20"/>
              </w:rPr>
              <w:t xml:space="preserve">20</w:t>
            </w:r>
          </w:p>
        </w:tc>
        <w:tc>
          <w:tcPr>
            <w:tcW w:w="1361" w:type="dxa"/>
          </w:tcPr>
          <w:bookmarkStart w:id="1945" w:name="P1945"/>
          <w:bookmarkEnd w:id="1945"/>
          <w:p>
            <w:pPr>
              <w:pStyle w:val="0"/>
              <w:jc w:val="center"/>
            </w:pPr>
            <w:r>
              <w:rPr>
                <w:sz w:val="20"/>
              </w:rPr>
              <w:t xml:space="preserve">21</w:t>
            </w:r>
          </w:p>
        </w:tc>
        <w:tc>
          <w:tcPr>
            <w:tcW w:w="680" w:type="dxa"/>
          </w:tcPr>
          <w:bookmarkStart w:id="1946" w:name="P1946"/>
          <w:bookmarkEnd w:id="1946"/>
          <w:p>
            <w:pPr>
              <w:pStyle w:val="0"/>
              <w:jc w:val="center"/>
            </w:pPr>
            <w:r>
              <w:rPr>
                <w:sz w:val="20"/>
              </w:rPr>
              <w:t xml:space="preserve">22</w:t>
            </w:r>
          </w:p>
        </w:tc>
        <w:tc>
          <w:tcPr>
            <w:tcW w:w="1361" w:type="dxa"/>
          </w:tcPr>
          <w:bookmarkStart w:id="1947" w:name="P1947"/>
          <w:bookmarkEnd w:id="1947"/>
          <w:p>
            <w:pPr>
              <w:pStyle w:val="0"/>
              <w:jc w:val="center"/>
            </w:pPr>
            <w:r>
              <w:rPr>
                <w:sz w:val="20"/>
              </w:rPr>
              <w:t xml:space="preserve">23</w:t>
            </w:r>
          </w:p>
        </w:tc>
        <w:tc>
          <w:tcPr>
            <w:tcW w:w="680" w:type="dxa"/>
          </w:tcPr>
          <w:bookmarkStart w:id="1948" w:name="P1948"/>
          <w:bookmarkEnd w:id="1948"/>
          <w:p>
            <w:pPr>
              <w:pStyle w:val="0"/>
              <w:jc w:val="center"/>
            </w:pPr>
            <w:r>
              <w:rPr>
                <w:sz w:val="20"/>
              </w:rPr>
              <w:t xml:space="preserve">24</w:t>
            </w:r>
          </w:p>
        </w:tc>
        <w:tc>
          <w:tcPr>
            <w:tcW w:w="1361" w:type="dxa"/>
          </w:tcPr>
          <w:bookmarkStart w:id="1949" w:name="P1949"/>
          <w:bookmarkEnd w:id="1949"/>
          <w:p>
            <w:pPr>
              <w:pStyle w:val="0"/>
              <w:jc w:val="center"/>
            </w:pPr>
            <w:r>
              <w:rPr>
                <w:sz w:val="20"/>
              </w:rPr>
              <w:t xml:space="preserve">25</w:t>
            </w:r>
          </w:p>
        </w:tc>
        <w:tc>
          <w:tcPr>
            <w:tcW w:w="680" w:type="dxa"/>
          </w:tcPr>
          <w:bookmarkStart w:id="1950" w:name="P1950"/>
          <w:bookmarkEnd w:id="1950"/>
          <w:p>
            <w:pPr>
              <w:pStyle w:val="0"/>
              <w:jc w:val="center"/>
            </w:pPr>
            <w:r>
              <w:rPr>
                <w:sz w:val="20"/>
              </w:rPr>
              <w:t xml:space="preserve">26</w:t>
            </w:r>
          </w:p>
        </w:tc>
        <w:tc>
          <w:tcPr>
            <w:tcW w:w="1361" w:type="dxa"/>
          </w:tcPr>
          <w:bookmarkStart w:id="1951" w:name="P1951"/>
          <w:bookmarkEnd w:id="1951"/>
          <w:p>
            <w:pPr>
              <w:pStyle w:val="0"/>
              <w:jc w:val="center"/>
            </w:pPr>
            <w:r>
              <w:rPr>
                <w:sz w:val="20"/>
              </w:rPr>
              <w:t xml:space="preserve">27</w:t>
            </w:r>
          </w:p>
        </w:tc>
        <w:tc>
          <w:tcPr>
            <w:tcW w:w="680" w:type="dxa"/>
          </w:tcPr>
          <w:bookmarkStart w:id="1952" w:name="P1952"/>
          <w:bookmarkEnd w:id="1952"/>
          <w:p>
            <w:pPr>
              <w:pStyle w:val="0"/>
              <w:jc w:val="center"/>
            </w:pPr>
            <w:r>
              <w:rPr>
                <w:sz w:val="20"/>
              </w:rPr>
              <w:t xml:space="preserve">28</w:t>
            </w:r>
          </w:p>
        </w:tc>
        <w:tc>
          <w:tcPr>
            <w:tcW w:w="1361" w:type="dxa"/>
          </w:tcPr>
          <w:bookmarkStart w:id="1953" w:name="P1953"/>
          <w:bookmarkEnd w:id="1953"/>
          <w:p>
            <w:pPr>
              <w:pStyle w:val="0"/>
              <w:jc w:val="center"/>
            </w:pPr>
            <w:r>
              <w:rPr>
                <w:sz w:val="20"/>
              </w:rPr>
              <w:t xml:space="preserve">29</w:t>
            </w:r>
          </w:p>
        </w:tc>
        <w:tc>
          <w:tcPr>
            <w:tcW w:w="680" w:type="dxa"/>
          </w:tcPr>
          <w:bookmarkStart w:id="1954" w:name="P1954"/>
          <w:bookmarkEnd w:id="1954"/>
          <w:p>
            <w:pPr>
              <w:pStyle w:val="0"/>
              <w:jc w:val="center"/>
            </w:pPr>
            <w:r>
              <w:rPr>
                <w:sz w:val="20"/>
              </w:rPr>
              <w:t xml:space="preserve">30</w:t>
            </w:r>
          </w:p>
        </w:tc>
        <w:tc>
          <w:tcPr>
            <w:tcW w:w="1361" w:type="dxa"/>
            <w:tcBorders>
              <w:right w:val="nil"/>
            </w:tcBorders>
          </w:tcPr>
          <w:bookmarkStart w:id="1955" w:name="P1955"/>
          <w:bookmarkEnd w:id="1955"/>
          <w:p>
            <w:pPr>
              <w:pStyle w:val="0"/>
              <w:jc w:val="center"/>
            </w:pPr>
            <w:r>
              <w:rPr>
                <w:sz w:val="20"/>
              </w:rPr>
              <w:t xml:space="preserve">31</w:t>
            </w:r>
          </w:p>
        </w:tc>
      </w:tr>
      <w:tr>
        <w:tblPrEx>
          <w:tblBorders>
            <w:right w:val="single" w:sz="4"/>
          </w:tblBorders>
        </w:tblPrEx>
        <w:tc>
          <w:tcPr>
            <w:tcW w:w="811" w:type="dxa"/>
          </w:tcPr>
          <w:p>
            <w:pPr>
              <w:pStyle w:val="0"/>
              <w:jc w:val="center"/>
            </w:pPr>
            <w:r>
              <w:rPr>
                <w:sz w:val="20"/>
              </w:rPr>
              <w:t xml:space="preserve">0100</w:t>
            </w:r>
          </w:p>
        </w:tc>
        <w:tc>
          <w:tcPr>
            <w:tcW w:w="737" w:type="dxa"/>
            <w:vMerge w:val="restart"/>
          </w:tcPr>
          <w:p>
            <w:pPr>
              <w:pStyle w:val="0"/>
            </w:pPr>
            <w:r>
              <w:rPr>
                <w:sz w:val="20"/>
              </w:rPr>
            </w:r>
          </w:p>
        </w:tc>
        <w:tc>
          <w:tcPr>
            <w:tcW w:w="1361" w:type="dxa"/>
            <w:vMerge w:val="restart"/>
          </w:tcPr>
          <w:p>
            <w:pPr>
              <w:pStyle w:val="0"/>
            </w:pPr>
            <w:r>
              <w:rPr>
                <w:sz w:val="20"/>
              </w:rPr>
            </w:r>
          </w:p>
        </w:tc>
        <w:tc>
          <w:tcPr>
            <w:tcW w:w="763"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r>
      <w:tr>
        <w:tblPrEx>
          <w:tblBorders>
            <w:right w:val="single" w:sz="4"/>
          </w:tblBorders>
        </w:tblPrEx>
        <w:tc>
          <w:tcPr>
            <w:tcW w:w="811" w:type="dxa"/>
          </w:tcPr>
          <w:p>
            <w:pPr>
              <w:pStyle w:val="0"/>
              <w:jc w:val="center"/>
            </w:pPr>
            <w:r>
              <w:rPr>
                <w:sz w:val="20"/>
              </w:rPr>
              <w:t xml:space="preserve">0101</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right w:val="single" w:sz="4"/>
          </w:tblBorders>
        </w:tblPrEx>
        <w:tc>
          <w:tcPr>
            <w:tcW w:w="811" w:type="dxa"/>
          </w:tcPr>
          <w:p>
            <w:pPr>
              <w:pStyle w:val="0"/>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right w:val="single" w:sz="4"/>
          </w:tblBorders>
        </w:tblPrEx>
        <w:tc>
          <w:tcPr>
            <w:tcW w:w="811" w:type="dxa"/>
          </w:tcPr>
          <w:p>
            <w:pPr>
              <w:pStyle w:val="0"/>
              <w:jc w:val="center"/>
            </w:pPr>
            <w:r>
              <w:rPr>
                <w:sz w:val="20"/>
              </w:rPr>
              <w:t xml:space="preserve">0200</w:t>
            </w:r>
          </w:p>
        </w:tc>
        <w:tc>
          <w:tcPr>
            <w:tcW w:w="737" w:type="dxa"/>
            <w:vMerge w:val="restart"/>
          </w:tcPr>
          <w:p>
            <w:pPr>
              <w:pStyle w:val="0"/>
            </w:pPr>
            <w:r>
              <w:rPr>
                <w:sz w:val="20"/>
              </w:rPr>
            </w:r>
          </w:p>
        </w:tc>
        <w:tc>
          <w:tcPr>
            <w:tcW w:w="1361" w:type="dxa"/>
            <w:vMerge w:val="restart"/>
          </w:tcPr>
          <w:p>
            <w:pPr>
              <w:pStyle w:val="0"/>
            </w:pPr>
            <w:r>
              <w:rPr>
                <w:sz w:val="20"/>
              </w:rPr>
            </w:r>
          </w:p>
        </w:tc>
        <w:tc>
          <w:tcPr>
            <w:tcW w:w="763"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r>
      <w:tr>
        <w:tblPrEx>
          <w:tblBorders>
            <w:right w:val="single" w:sz="4"/>
          </w:tblBorders>
        </w:tblPrEx>
        <w:tc>
          <w:tcPr>
            <w:tcW w:w="811" w:type="dxa"/>
          </w:tcPr>
          <w:p>
            <w:pPr>
              <w:pStyle w:val="0"/>
              <w:jc w:val="center"/>
            </w:pPr>
            <w:r>
              <w:rPr>
                <w:sz w:val="20"/>
              </w:rPr>
              <w:t xml:space="preserve">0201</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right w:val="single" w:sz="4"/>
          </w:tblBorders>
        </w:tblPrEx>
        <w:tc>
          <w:tcPr>
            <w:tcW w:w="811" w:type="dxa"/>
          </w:tcPr>
          <w:p>
            <w:pPr>
              <w:pStyle w:val="0"/>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bl>
    <w:p>
      <w:pPr>
        <w:pStyle w:val="0"/>
        <w:jc w:val="both"/>
      </w:pPr>
      <w:r>
        <w:rPr>
          <w:sz w:val="20"/>
        </w:rPr>
      </w:r>
    </w:p>
    <w:bookmarkStart w:id="1995" w:name="P1995"/>
    <w:bookmarkEnd w:id="1995"/>
    <w:p>
      <w:pPr>
        <w:pStyle w:val="1"/>
        <w:jc w:val="both"/>
      </w:pPr>
      <w:r>
        <w:rPr>
          <w:sz w:val="20"/>
        </w:rPr>
        <w:t xml:space="preserve">      2.2. Аналитическая информация о достижении значений результатов</w:t>
      </w:r>
    </w:p>
    <w:p>
      <w:pPr>
        <w:pStyle w:val="1"/>
        <w:jc w:val="both"/>
      </w:pPr>
      <w:r>
        <w:rPr>
          <w:sz w:val="20"/>
        </w:rPr>
        <w:t xml:space="preserve">    предоставления Иного межбюджетного трансферта и объеме обязательств</w:t>
      </w:r>
    </w:p>
    <w:p>
      <w:pPr>
        <w:pStyle w:val="1"/>
        <w:jc w:val="both"/>
      </w:pPr>
      <w:r>
        <w:rPr>
          <w:sz w:val="20"/>
        </w:rPr>
        <w:t xml:space="preserve">      муниципальных образований, принятых в целях их достижения </w:t>
      </w:r>
      <w:hyperlink w:history="0" w:anchor="P2273" w:tooltip="&lt;20&gt; Раздел 2.2 формируется субъектом Российской Федерации на основании консолидированной информации отчетов муниципальных образований о достижении значений результатов предоставления Иного межбюджетного трансферта. Отчеты муниципальных образований о достижении значений результатов предоставления Иного межбюджетного трансферта формируются в порядке, аналогичном порядку формирования показателей раздела 2.1.">
        <w:r>
          <w:rPr>
            <w:sz w:val="20"/>
            <w:color w:val="0000ff"/>
          </w:rPr>
          <w:t xml:space="preserve">&lt;20&gt;</w:t>
        </w:r>
      </w:hyperlink>
    </w:p>
    <w:p>
      <w:pPr>
        <w:pStyle w:val="0"/>
        <w:jc w:val="both"/>
      </w:pPr>
      <w:r>
        <w:rPr>
          <w:sz w:val="20"/>
        </w:rPr>
      </w:r>
    </w:p>
    <w:tbl>
      <w:tblPr>
        <w:tblInd w:w="0" w:type="dxa"/>
        <w:tblW w:w="5000" w:type="pct"/>
        <w:tblBorders>
          <w:top w:val="single" w:sz="4"/>
          <w:bottom w:val="single" w:sz="4"/>
          <w:right w:val="single" w:sz="4"/>
          <w:insideV w:val="single" w:sz="4"/>
          <w:insideH w:val="single" w:sz="4"/>
        </w:tblBorders>
        <w:tblCellMar>
          <w:top w:w="102" w:type="dxa"/>
          <w:left w:w="62" w:type="dxa"/>
          <w:bottom w:w="102" w:type="dxa"/>
          <w:right w:w="62" w:type="dxa"/>
        </w:tblCellMar>
      </w:tblPr>
      <w:tblGrid>
        <w:gridCol w:w="964"/>
        <w:gridCol w:w="715"/>
        <w:gridCol w:w="1531"/>
        <w:gridCol w:w="907"/>
        <w:gridCol w:w="850"/>
        <w:gridCol w:w="638"/>
        <w:gridCol w:w="638"/>
        <w:gridCol w:w="907"/>
        <w:gridCol w:w="1077"/>
        <w:gridCol w:w="907"/>
        <w:gridCol w:w="1134"/>
        <w:gridCol w:w="1247"/>
        <w:gridCol w:w="1018"/>
        <w:gridCol w:w="680"/>
        <w:gridCol w:w="907"/>
        <w:gridCol w:w="1077"/>
      </w:tblGrid>
      <w:tr>
        <w:tblPrEx>
          <w:tblBorders>
            <w:right w:val="nil"/>
          </w:tblBorders>
        </w:tblPrEx>
        <w:tc>
          <w:tcPr>
            <w:gridSpan w:val="2"/>
            <w:tcW w:w="1679" w:type="dxa"/>
            <w:tcBorders>
              <w:left w:val="nil"/>
            </w:tcBorders>
          </w:tcPr>
          <w:p>
            <w:pPr>
              <w:pStyle w:val="0"/>
              <w:jc w:val="center"/>
            </w:pPr>
            <w:r>
              <w:rPr>
                <w:sz w:val="20"/>
              </w:rPr>
              <w:t xml:space="preserve">Направление расходов </w:t>
            </w:r>
            <w:hyperlink w:history="0" w:anchor="P2264" w:tooltip="&lt;11&gt; Показатели граф 1 - 5 разделов 2.1, 2.2 и граф 7, 8 раздела 2.1 соответственно формируются на основании показателей граф 1 - 5 и 7, 8 раздела 1.">
              <w:r>
                <w:rPr>
                  <w:sz w:val="20"/>
                  <w:color w:val="0000ff"/>
                </w:rPr>
                <w:t xml:space="preserve">&lt;11&gt;</w:t>
              </w:r>
            </w:hyperlink>
          </w:p>
        </w:tc>
        <w:tc>
          <w:tcPr>
            <w:tcW w:w="1531" w:type="dxa"/>
            <w:vMerge w:val="restart"/>
          </w:tcPr>
          <w:p>
            <w:pPr>
              <w:pStyle w:val="0"/>
              <w:jc w:val="center"/>
            </w:pPr>
            <w:r>
              <w:rPr>
                <w:sz w:val="20"/>
              </w:rPr>
              <w:t xml:space="preserve">Результат предоставления Иного межбюджетного трансферта </w:t>
            </w:r>
            <w:hyperlink w:history="0" w:anchor="P2264" w:tooltip="&lt;11&gt; Показатели граф 1 - 5 разделов 2.1, 2.2 и граф 7, 8 раздела 2.1 соответственно формируются на основании показателей граф 1 - 5 и 7, 8 раздела 1.">
              <w:r>
                <w:rPr>
                  <w:sz w:val="20"/>
                  <w:color w:val="0000ff"/>
                </w:rPr>
                <w:t xml:space="preserve">&lt;11&gt;</w:t>
              </w:r>
            </w:hyperlink>
          </w:p>
        </w:tc>
        <w:tc>
          <w:tcPr>
            <w:gridSpan w:val="2"/>
            <w:tcW w:w="1757" w:type="dxa"/>
          </w:tcPr>
          <w:p>
            <w:pPr>
              <w:pStyle w:val="0"/>
              <w:jc w:val="center"/>
            </w:pPr>
            <w:r>
              <w:rPr>
                <w:sz w:val="20"/>
              </w:rPr>
              <w:t xml:space="preserve">Единица измерения </w:t>
            </w:r>
            <w:hyperlink w:history="0" w:anchor="P2264" w:tooltip="&lt;11&gt; Показатели граф 1 - 5 разделов 2.1, 2.2 и граф 7, 8 раздела 2.1 соответственно формируются на основании показателей граф 1 - 5 и 7, 8 раздела 1.">
              <w:r>
                <w:rPr>
                  <w:sz w:val="20"/>
                  <w:color w:val="0000ff"/>
                </w:rPr>
                <w:t xml:space="preserve">&lt;11&gt;</w:t>
              </w:r>
            </w:hyperlink>
          </w:p>
        </w:tc>
        <w:tc>
          <w:tcPr>
            <w:tcW w:w="638" w:type="dxa"/>
            <w:vMerge w:val="restart"/>
          </w:tcPr>
          <w:p>
            <w:pPr>
              <w:pStyle w:val="0"/>
              <w:jc w:val="center"/>
            </w:pPr>
            <w:r>
              <w:rPr>
                <w:sz w:val="20"/>
              </w:rPr>
              <w:t xml:space="preserve">Код мероприятия (результата) федерального проекта </w:t>
            </w:r>
            <w:hyperlink w:history="0" w:anchor="P2257" w:tooltip="&lt;4.1&gt; Указывается соответствующий результату предоставления Иного межбюджетного трансферта код мероприятия (результата) федерального проекта, автоматически сформированный в системе &quot;Электронный бюджет&quot;.">
              <w:r>
                <w:rPr>
                  <w:sz w:val="20"/>
                  <w:color w:val="0000ff"/>
                </w:rPr>
                <w:t xml:space="preserve">&lt;4.1&gt;</w:t>
              </w:r>
            </w:hyperlink>
          </w:p>
        </w:tc>
        <w:tc>
          <w:tcPr>
            <w:tcW w:w="638" w:type="dxa"/>
            <w:vMerge w:val="restart"/>
          </w:tcPr>
          <w:p>
            <w:pPr>
              <w:pStyle w:val="0"/>
              <w:jc w:val="center"/>
            </w:pPr>
            <w:r>
              <w:rPr>
                <w:sz w:val="20"/>
              </w:rPr>
              <w:t xml:space="preserve">Код строки</w:t>
            </w:r>
          </w:p>
        </w:tc>
        <w:tc>
          <w:tcPr>
            <w:gridSpan w:val="2"/>
            <w:tcW w:w="1984" w:type="dxa"/>
          </w:tcPr>
          <w:p>
            <w:pPr>
              <w:pStyle w:val="0"/>
              <w:jc w:val="center"/>
            </w:pPr>
            <w:r>
              <w:rPr>
                <w:sz w:val="20"/>
              </w:rPr>
              <w:t xml:space="preserve">Плановые значения </w:t>
            </w:r>
            <w:hyperlink w:history="0" w:anchor="P2274" w:tooltip="&lt;21&gt; Показатели в графах 7, 8 и 11 - 15 раздела 2.2 консолидированной информации, формируемой субъектом Российской Федерации на основании отчетов муниципальных образований, не заполняются.">
              <w:r>
                <w:rPr>
                  <w:sz w:val="20"/>
                  <w:color w:val="0000ff"/>
                </w:rPr>
                <w:t xml:space="preserve">&lt;21&gt;</w:t>
              </w:r>
            </w:hyperlink>
          </w:p>
        </w:tc>
        <w:tc>
          <w:tcPr>
            <w:gridSpan w:val="6"/>
            <w:tcW w:w="5893" w:type="dxa"/>
          </w:tcPr>
          <w:p>
            <w:pPr>
              <w:pStyle w:val="0"/>
              <w:jc w:val="center"/>
            </w:pPr>
            <w:r>
              <w:rPr>
                <w:sz w:val="20"/>
              </w:rPr>
              <w:t xml:space="preserve">Фактически достигнутые значения </w:t>
            </w:r>
            <w:hyperlink w:history="0" w:anchor="P2274" w:tooltip="&lt;21&gt; Показатели в графах 7, 8 и 11 - 15 раздела 2.2 консолидированной информации, формируемой субъектом Российской Федерации на основании отчетов муниципальных образований, не заполняются.">
              <w:r>
                <w:rPr>
                  <w:sz w:val="20"/>
                  <w:color w:val="0000ff"/>
                </w:rPr>
                <w:t xml:space="preserve">&lt;21&gt;</w:t>
              </w:r>
            </w:hyperlink>
          </w:p>
        </w:tc>
        <w:tc>
          <w:tcPr>
            <w:tcW w:w="1077" w:type="dxa"/>
            <w:tcBorders>
              <w:right w:val="nil"/>
            </w:tcBorders>
            <w:vMerge w:val="restart"/>
          </w:tcPr>
          <w:p>
            <w:pPr>
              <w:pStyle w:val="0"/>
              <w:jc w:val="center"/>
            </w:pPr>
            <w:r>
              <w:rPr>
                <w:sz w:val="20"/>
              </w:rPr>
              <w:t xml:space="preserve">уровень софинансирования, % </w:t>
            </w:r>
            <w:hyperlink w:history="0" w:anchor="P2274" w:tooltip="&lt;21&gt; Показатели в графах 7, 8 и 11 - 15 раздела 2.2 консолидированной информации, формируемой субъектом Российской Федерации на основании отчетов муниципальных образований, не заполняются.">
              <w:r>
                <w:rPr>
                  <w:sz w:val="20"/>
                  <w:color w:val="0000ff"/>
                </w:rPr>
                <w:t xml:space="preserve">&lt;21&gt;</w:t>
              </w:r>
            </w:hyperlink>
          </w:p>
        </w:tc>
      </w:tr>
      <w:tr>
        <w:tblPrEx>
          <w:tblBorders>
            <w:right w:val="nil"/>
          </w:tblBorders>
        </w:tblPrEx>
        <w:tc>
          <w:tcPr>
            <w:tcW w:w="964" w:type="dxa"/>
            <w:tcBorders>
              <w:left w:val="nil"/>
            </w:tcBorders>
            <w:vMerge w:val="restart"/>
          </w:tcPr>
          <w:p>
            <w:pPr>
              <w:pStyle w:val="0"/>
              <w:jc w:val="center"/>
            </w:pPr>
            <w:r>
              <w:rPr>
                <w:sz w:val="20"/>
              </w:rPr>
              <w:t xml:space="preserve">наименование</w:t>
            </w:r>
          </w:p>
        </w:tc>
        <w:tc>
          <w:tcPr>
            <w:tcW w:w="715" w:type="dxa"/>
            <w:vMerge w:val="restart"/>
          </w:tcPr>
          <w:p>
            <w:pPr>
              <w:pStyle w:val="0"/>
              <w:jc w:val="center"/>
            </w:pPr>
            <w:r>
              <w:rPr>
                <w:sz w:val="20"/>
              </w:rPr>
              <w:t xml:space="preserve">код по БК</w:t>
            </w:r>
          </w:p>
        </w:tc>
        <w:tc>
          <w:tcPr>
            <w:vMerge w:val="continue"/>
          </w:tcPr>
          <w:p/>
        </w:tc>
        <w:tc>
          <w:tcPr>
            <w:tcW w:w="907" w:type="dxa"/>
            <w:vMerge w:val="restart"/>
          </w:tcPr>
          <w:p>
            <w:pPr>
              <w:pStyle w:val="0"/>
              <w:jc w:val="center"/>
            </w:pPr>
            <w:r>
              <w:rPr>
                <w:sz w:val="20"/>
              </w:rPr>
              <w:t xml:space="preserve">наименование</w:t>
            </w:r>
          </w:p>
        </w:tc>
        <w:tc>
          <w:tcPr>
            <w:tcW w:w="850" w:type="dxa"/>
            <w:vMerge w:val="restart"/>
          </w:tcPr>
          <w:p>
            <w:pPr>
              <w:pStyle w:val="0"/>
              <w:jc w:val="center"/>
            </w:pPr>
            <w:r>
              <w:rPr>
                <w:sz w:val="20"/>
              </w:rPr>
              <w:t xml:space="preserve">код по </w:t>
            </w:r>
            <w:hyperlink w:history="0" r:id="rId76"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tc>
        <w:tc>
          <w:tcPr>
            <w:vMerge w:val="continue"/>
          </w:tcPr>
          <w:p/>
        </w:tc>
        <w:tc>
          <w:tcPr>
            <w:vMerge w:val="continue"/>
          </w:tcPr>
          <w:p/>
        </w:tc>
        <w:tc>
          <w:tcPr>
            <w:tcW w:w="907" w:type="dxa"/>
            <w:vMerge w:val="restart"/>
          </w:tcPr>
          <w:p>
            <w:pPr>
              <w:pStyle w:val="0"/>
              <w:jc w:val="center"/>
            </w:pPr>
            <w:r>
              <w:rPr>
                <w:sz w:val="20"/>
              </w:rPr>
              <w:t xml:space="preserve">с даты заключения соглашения</w:t>
            </w:r>
          </w:p>
        </w:tc>
        <w:tc>
          <w:tcPr>
            <w:tcW w:w="1077" w:type="dxa"/>
            <w:vMerge w:val="restart"/>
          </w:tcPr>
          <w:p>
            <w:pPr>
              <w:pStyle w:val="0"/>
              <w:jc w:val="center"/>
            </w:pPr>
            <w:r>
              <w:rPr>
                <w:sz w:val="20"/>
              </w:rPr>
              <w:t xml:space="preserve">из них с начала текущего финансового года</w:t>
            </w:r>
          </w:p>
        </w:tc>
        <w:tc>
          <w:tcPr>
            <w:gridSpan w:val="2"/>
            <w:tcW w:w="2041" w:type="dxa"/>
          </w:tcPr>
          <w:p>
            <w:pPr>
              <w:pStyle w:val="0"/>
              <w:jc w:val="center"/>
            </w:pPr>
            <w:r>
              <w:rPr>
                <w:sz w:val="20"/>
              </w:rPr>
              <w:t xml:space="preserve">на отчетную дату</w:t>
            </w:r>
          </w:p>
        </w:tc>
        <w:tc>
          <w:tcPr>
            <w:gridSpan w:val="2"/>
            <w:tcW w:w="2265" w:type="dxa"/>
          </w:tcPr>
          <w:p>
            <w:pPr>
              <w:pStyle w:val="0"/>
              <w:jc w:val="center"/>
            </w:pPr>
            <w:r>
              <w:rPr>
                <w:sz w:val="20"/>
              </w:rPr>
              <w:t xml:space="preserve">отклонение от планового значения</w:t>
            </w:r>
          </w:p>
        </w:tc>
        <w:tc>
          <w:tcPr>
            <w:gridSpan w:val="2"/>
            <w:tcW w:w="1587" w:type="dxa"/>
          </w:tcPr>
          <w:p>
            <w:pPr>
              <w:pStyle w:val="0"/>
              <w:jc w:val="center"/>
            </w:pPr>
            <w:r>
              <w:rPr>
                <w:sz w:val="20"/>
              </w:rPr>
              <w:t xml:space="preserve">причина отклонения</w:t>
            </w:r>
          </w:p>
        </w:tc>
        <w:tc>
          <w:tcPr>
            <w:tcBorders>
              <w:right w:val="nil"/>
            </w:tcBorders>
            <w:vMerge w:val="continue"/>
          </w:tcPr>
          <w:p/>
        </w:tc>
      </w:tr>
      <w:tr>
        <w:tblPrEx>
          <w:tblBorders>
            <w:right w:val="nil"/>
          </w:tblBorders>
        </w:tblPrEx>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7" w:type="dxa"/>
          </w:tcPr>
          <w:p>
            <w:pPr>
              <w:pStyle w:val="0"/>
              <w:jc w:val="center"/>
            </w:pPr>
            <w:r>
              <w:rPr>
                <w:sz w:val="20"/>
              </w:rPr>
              <w:t xml:space="preserve">с даты заключения соглашения</w:t>
            </w:r>
          </w:p>
        </w:tc>
        <w:tc>
          <w:tcPr>
            <w:tcW w:w="1134" w:type="dxa"/>
          </w:tcPr>
          <w:p>
            <w:pPr>
              <w:pStyle w:val="0"/>
              <w:jc w:val="center"/>
            </w:pPr>
            <w:r>
              <w:rPr>
                <w:sz w:val="20"/>
              </w:rPr>
              <w:t xml:space="preserve">из них с начала текущего финансового года</w:t>
            </w:r>
          </w:p>
        </w:tc>
        <w:tc>
          <w:tcPr>
            <w:tcW w:w="1247" w:type="dxa"/>
          </w:tcPr>
          <w:p>
            <w:pPr>
              <w:pStyle w:val="0"/>
              <w:jc w:val="center"/>
            </w:pPr>
            <w:r>
              <w:rPr>
                <w:sz w:val="20"/>
              </w:rPr>
              <w:t xml:space="preserve">в абсолютных величинах (</w:t>
            </w:r>
            <w:hyperlink w:history="0" w:anchor="P2031" w:tooltip="9">
              <w:r>
                <w:rPr>
                  <w:sz w:val="20"/>
                  <w:color w:val="0000ff"/>
                </w:rPr>
                <w:t xml:space="preserve">гр. 9</w:t>
              </w:r>
            </w:hyperlink>
            <w:r>
              <w:rPr>
                <w:sz w:val="20"/>
              </w:rPr>
              <w:t xml:space="preserve"> - </w:t>
            </w:r>
            <w:hyperlink w:history="0" w:anchor="P2029" w:tooltip="7">
              <w:r>
                <w:rPr>
                  <w:sz w:val="20"/>
                  <w:color w:val="0000ff"/>
                </w:rPr>
                <w:t xml:space="preserve">гр. 7</w:t>
              </w:r>
            </w:hyperlink>
            <w:r>
              <w:rPr>
                <w:sz w:val="20"/>
              </w:rPr>
              <w:t xml:space="preserve">)</w:t>
            </w:r>
          </w:p>
        </w:tc>
        <w:tc>
          <w:tcPr>
            <w:tcW w:w="1018" w:type="dxa"/>
          </w:tcPr>
          <w:p>
            <w:pPr>
              <w:pStyle w:val="0"/>
              <w:jc w:val="center"/>
            </w:pPr>
            <w:r>
              <w:rPr>
                <w:sz w:val="20"/>
              </w:rPr>
              <w:t xml:space="preserve">в процентах </w:t>
            </w:r>
            <w:hyperlink w:history="0" w:anchor="P2033" w:tooltip="11">
              <w:r>
                <w:rPr>
                  <w:sz w:val="20"/>
                  <w:color w:val="0000ff"/>
                </w:rPr>
                <w:t xml:space="preserve">гр. 11</w:t>
              </w:r>
            </w:hyperlink>
            <w:r>
              <w:rPr>
                <w:sz w:val="20"/>
              </w:rPr>
              <w:t xml:space="preserve"> / </w:t>
            </w:r>
            <w:hyperlink w:history="0" w:anchor="P2029" w:tooltip="7">
              <w:r>
                <w:rPr>
                  <w:sz w:val="20"/>
                  <w:color w:val="0000ff"/>
                </w:rPr>
                <w:t xml:space="preserve">гр. 7</w:t>
              </w:r>
            </w:hyperlink>
            <w:r>
              <w:rPr>
                <w:sz w:val="20"/>
              </w:rPr>
              <w:t xml:space="preserve"> x 100%</w:t>
            </w:r>
          </w:p>
        </w:tc>
        <w:tc>
          <w:tcPr>
            <w:tcW w:w="680" w:type="dxa"/>
          </w:tcPr>
          <w:p>
            <w:pPr>
              <w:pStyle w:val="0"/>
              <w:jc w:val="center"/>
            </w:pPr>
            <w:r>
              <w:rPr>
                <w:sz w:val="20"/>
              </w:rPr>
              <w:t xml:space="preserve">код</w:t>
            </w:r>
          </w:p>
        </w:tc>
        <w:tc>
          <w:tcPr>
            <w:tcW w:w="907" w:type="dxa"/>
          </w:tcPr>
          <w:p>
            <w:pPr>
              <w:pStyle w:val="0"/>
              <w:jc w:val="center"/>
            </w:pPr>
            <w:r>
              <w:rPr>
                <w:sz w:val="20"/>
              </w:rPr>
              <w:t xml:space="preserve">наименование</w:t>
            </w:r>
          </w:p>
        </w:tc>
        <w:tc>
          <w:tcPr>
            <w:tcBorders>
              <w:right w:val="nil"/>
            </w:tcBorders>
            <w:vMerge w:val="continue"/>
          </w:tcPr>
          <w:p/>
        </w:tc>
      </w:tr>
      <w:tr>
        <w:tblPrEx>
          <w:tblBorders>
            <w:right w:val="nil"/>
          </w:tblBorders>
        </w:tblPrEx>
        <w:tc>
          <w:tcPr>
            <w:tcW w:w="964" w:type="dxa"/>
            <w:tcBorders>
              <w:left w:val="nil"/>
            </w:tcBorders>
          </w:tcPr>
          <w:p>
            <w:pPr>
              <w:pStyle w:val="0"/>
              <w:jc w:val="center"/>
            </w:pPr>
            <w:r>
              <w:rPr>
                <w:sz w:val="20"/>
              </w:rPr>
              <w:t xml:space="preserve">1</w:t>
            </w:r>
          </w:p>
        </w:tc>
        <w:tc>
          <w:tcPr>
            <w:tcW w:w="715" w:type="dxa"/>
          </w:tcPr>
          <w:p>
            <w:pPr>
              <w:pStyle w:val="0"/>
              <w:jc w:val="center"/>
            </w:pPr>
            <w:r>
              <w:rPr>
                <w:sz w:val="20"/>
              </w:rPr>
              <w:t xml:space="preserve">2</w:t>
            </w:r>
          </w:p>
        </w:tc>
        <w:tc>
          <w:tcPr>
            <w:tcW w:w="1531" w:type="dxa"/>
          </w:tcPr>
          <w:p>
            <w:pPr>
              <w:pStyle w:val="0"/>
              <w:jc w:val="center"/>
            </w:pPr>
            <w:r>
              <w:rPr>
                <w:sz w:val="20"/>
              </w:rPr>
              <w:t xml:space="preserve">3</w:t>
            </w:r>
          </w:p>
        </w:tc>
        <w:tc>
          <w:tcPr>
            <w:tcW w:w="907" w:type="dxa"/>
          </w:tcPr>
          <w:p>
            <w:pPr>
              <w:pStyle w:val="0"/>
              <w:jc w:val="center"/>
            </w:pPr>
            <w:r>
              <w:rPr>
                <w:sz w:val="20"/>
              </w:rPr>
              <w:t xml:space="preserve">4</w:t>
            </w:r>
          </w:p>
        </w:tc>
        <w:tc>
          <w:tcPr>
            <w:tcW w:w="850" w:type="dxa"/>
          </w:tcPr>
          <w:p>
            <w:pPr>
              <w:pStyle w:val="0"/>
              <w:jc w:val="center"/>
            </w:pPr>
            <w:r>
              <w:rPr>
                <w:sz w:val="20"/>
              </w:rPr>
              <w:t xml:space="preserve">5</w:t>
            </w:r>
          </w:p>
        </w:tc>
        <w:tc>
          <w:tcPr>
            <w:tcW w:w="638" w:type="dxa"/>
          </w:tcPr>
          <w:p>
            <w:pPr>
              <w:pStyle w:val="0"/>
              <w:jc w:val="center"/>
            </w:pPr>
            <w:r>
              <w:rPr>
                <w:sz w:val="20"/>
              </w:rPr>
              <w:t xml:space="preserve">5.1</w:t>
            </w:r>
          </w:p>
        </w:tc>
        <w:tc>
          <w:tcPr>
            <w:tcW w:w="638" w:type="dxa"/>
          </w:tcPr>
          <w:p>
            <w:pPr>
              <w:pStyle w:val="0"/>
              <w:jc w:val="center"/>
            </w:pPr>
            <w:r>
              <w:rPr>
                <w:sz w:val="20"/>
              </w:rPr>
              <w:t xml:space="preserve">6</w:t>
            </w:r>
          </w:p>
        </w:tc>
        <w:tc>
          <w:tcPr>
            <w:tcW w:w="907" w:type="dxa"/>
          </w:tcPr>
          <w:bookmarkStart w:id="2029" w:name="P2029"/>
          <w:bookmarkEnd w:id="2029"/>
          <w:p>
            <w:pPr>
              <w:pStyle w:val="0"/>
              <w:jc w:val="center"/>
            </w:pPr>
            <w:r>
              <w:rPr>
                <w:sz w:val="20"/>
              </w:rPr>
              <w:t xml:space="preserve">7</w:t>
            </w:r>
          </w:p>
        </w:tc>
        <w:tc>
          <w:tcPr>
            <w:tcW w:w="1077" w:type="dxa"/>
          </w:tcPr>
          <w:bookmarkStart w:id="2030" w:name="P2030"/>
          <w:bookmarkEnd w:id="2030"/>
          <w:p>
            <w:pPr>
              <w:pStyle w:val="0"/>
              <w:jc w:val="center"/>
            </w:pPr>
            <w:r>
              <w:rPr>
                <w:sz w:val="20"/>
              </w:rPr>
              <w:t xml:space="preserve">8</w:t>
            </w:r>
          </w:p>
        </w:tc>
        <w:tc>
          <w:tcPr>
            <w:tcW w:w="907" w:type="dxa"/>
          </w:tcPr>
          <w:bookmarkStart w:id="2031" w:name="P2031"/>
          <w:bookmarkEnd w:id="2031"/>
          <w:p>
            <w:pPr>
              <w:pStyle w:val="0"/>
              <w:jc w:val="center"/>
            </w:pPr>
            <w:r>
              <w:rPr>
                <w:sz w:val="20"/>
              </w:rPr>
              <w:t xml:space="preserve">9</w:t>
            </w:r>
          </w:p>
        </w:tc>
        <w:tc>
          <w:tcPr>
            <w:tcW w:w="1134" w:type="dxa"/>
          </w:tcPr>
          <w:p>
            <w:pPr>
              <w:pStyle w:val="0"/>
              <w:jc w:val="center"/>
            </w:pPr>
            <w:r>
              <w:rPr>
                <w:sz w:val="20"/>
              </w:rPr>
              <w:t xml:space="preserve">10</w:t>
            </w:r>
          </w:p>
        </w:tc>
        <w:tc>
          <w:tcPr>
            <w:tcW w:w="1247" w:type="dxa"/>
          </w:tcPr>
          <w:bookmarkStart w:id="2033" w:name="P2033"/>
          <w:bookmarkEnd w:id="2033"/>
          <w:p>
            <w:pPr>
              <w:pStyle w:val="0"/>
              <w:jc w:val="center"/>
            </w:pPr>
            <w:r>
              <w:rPr>
                <w:sz w:val="20"/>
              </w:rPr>
              <w:t xml:space="preserve">11</w:t>
            </w:r>
          </w:p>
        </w:tc>
        <w:tc>
          <w:tcPr>
            <w:tcW w:w="1018" w:type="dxa"/>
          </w:tcPr>
          <w:p>
            <w:pPr>
              <w:pStyle w:val="0"/>
              <w:jc w:val="center"/>
            </w:pPr>
            <w:r>
              <w:rPr>
                <w:sz w:val="20"/>
              </w:rPr>
              <w:t xml:space="preserve">12</w:t>
            </w:r>
          </w:p>
        </w:tc>
        <w:tc>
          <w:tcPr>
            <w:tcW w:w="680" w:type="dxa"/>
          </w:tcPr>
          <w:p>
            <w:pPr>
              <w:pStyle w:val="0"/>
              <w:jc w:val="center"/>
            </w:pPr>
            <w:r>
              <w:rPr>
                <w:sz w:val="20"/>
              </w:rPr>
              <w:t xml:space="preserve">13</w:t>
            </w:r>
          </w:p>
        </w:tc>
        <w:tc>
          <w:tcPr>
            <w:tcW w:w="907" w:type="dxa"/>
          </w:tcPr>
          <w:p>
            <w:pPr>
              <w:pStyle w:val="0"/>
              <w:jc w:val="center"/>
            </w:pPr>
            <w:r>
              <w:rPr>
                <w:sz w:val="20"/>
              </w:rPr>
              <w:t xml:space="preserve">14</w:t>
            </w:r>
          </w:p>
        </w:tc>
        <w:tc>
          <w:tcPr>
            <w:tcW w:w="1077" w:type="dxa"/>
            <w:tcBorders>
              <w:right w:val="nil"/>
            </w:tcBorders>
          </w:tcPr>
          <w:bookmarkStart w:id="2037" w:name="P2037"/>
          <w:bookmarkEnd w:id="2037"/>
          <w:p>
            <w:pPr>
              <w:pStyle w:val="0"/>
              <w:jc w:val="center"/>
            </w:pPr>
            <w:r>
              <w:rPr>
                <w:sz w:val="20"/>
              </w:rPr>
              <w:t xml:space="preserve">15</w:t>
            </w:r>
          </w:p>
        </w:tc>
      </w:tr>
      <w:tr>
        <w:tc>
          <w:tcPr>
            <w:tcW w:w="964" w:type="dxa"/>
            <w:tcBorders>
              <w:left w:val="nil"/>
            </w:tcBorders>
            <w:vMerge w:val="restart"/>
          </w:tcPr>
          <w:p>
            <w:pPr>
              <w:pStyle w:val="0"/>
            </w:pPr>
            <w:r>
              <w:rPr>
                <w:sz w:val="20"/>
              </w:rPr>
            </w:r>
          </w:p>
        </w:tc>
        <w:tc>
          <w:tcPr>
            <w:tcW w:w="715" w:type="dxa"/>
            <w:vMerge w:val="restart"/>
          </w:tcPr>
          <w:p>
            <w:pPr>
              <w:pStyle w:val="0"/>
            </w:pPr>
            <w:r>
              <w:rPr>
                <w:sz w:val="20"/>
              </w:rPr>
            </w:r>
          </w:p>
        </w:tc>
        <w:tc>
          <w:tcPr>
            <w:tcW w:w="1531"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638" w:type="dxa"/>
          </w:tcPr>
          <w:p>
            <w:pPr>
              <w:pStyle w:val="0"/>
              <w:jc w:val="both"/>
            </w:pPr>
            <w:r>
              <w:rPr>
                <w:sz w:val="20"/>
              </w:rPr>
            </w:r>
          </w:p>
        </w:tc>
        <w:tc>
          <w:tcPr>
            <w:tcW w:w="638" w:type="dxa"/>
          </w:tcPr>
          <w:p>
            <w:pPr>
              <w:pStyle w:val="0"/>
              <w:jc w:val="center"/>
            </w:pPr>
            <w:r>
              <w:rPr>
                <w:sz w:val="20"/>
              </w:rPr>
              <w:t xml:space="preserve">0100</w:t>
            </w:r>
          </w:p>
        </w:tc>
        <w:tc>
          <w:tcPr>
            <w:tcW w:w="907"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018" w:type="dxa"/>
          </w:tcPr>
          <w:p>
            <w:pPr>
              <w:pStyle w:val="0"/>
            </w:pPr>
            <w:r>
              <w:rPr>
                <w:sz w:val="20"/>
              </w:rPr>
            </w:r>
          </w:p>
        </w:tc>
        <w:tc>
          <w:tcPr>
            <w:tcW w:w="680" w:type="dxa"/>
          </w:tcPr>
          <w:p>
            <w:pPr>
              <w:pStyle w:val="0"/>
            </w:pPr>
            <w:r>
              <w:rPr>
                <w:sz w:val="20"/>
              </w:rPr>
            </w:r>
          </w:p>
        </w:tc>
        <w:tc>
          <w:tcPr>
            <w:tcW w:w="907" w:type="dxa"/>
          </w:tcPr>
          <w:p>
            <w:pPr>
              <w:pStyle w:val="0"/>
            </w:pPr>
            <w:r>
              <w:rPr>
                <w:sz w:val="20"/>
              </w:rPr>
            </w:r>
          </w:p>
        </w:tc>
        <w:tc>
          <w:tcPr>
            <w:tcW w:w="1077" w:type="dxa"/>
            <w:vMerge w:val="restart"/>
          </w:tcPr>
          <w:p>
            <w:pPr>
              <w:pStyle w:val="0"/>
            </w:pPr>
            <w:r>
              <w:rPr>
                <w:sz w:val="20"/>
              </w:rPr>
            </w:r>
          </w:p>
        </w:tc>
      </w:tr>
      <w:tr>
        <w:tc>
          <w:tcPr>
            <w:tcBorders>
              <w:left w:val="nil"/>
            </w:tcBorders>
            <w:vMerge w:val="continue"/>
          </w:tcPr>
          <w:p/>
        </w:tc>
        <w:tc>
          <w:tcPr>
            <w:vMerge w:val="continue"/>
          </w:tcPr>
          <w:p/>
        </w:tc>
        <w:tc>
          <w:tcPr>
            <w:tcW w:w="1531" w:type="dxa"/>
          </w:tcPr>
          <w:p>
            <w:pPr>
              <w:pStyle w:val="0"/>
              <w:jc w:val="center"/>
            </w:pPr>
            <w:r>
              <w:rPr>
                <w:sz w:val="20"/>
              </w:rPr>
              <w:t xml:space="preserve">в том числе:</w:t>
            </w:r>
          </w:p>
        </w:tc>
        <w:tc>
          <w:tcPr>
            <w:tcW w:w="907" w:type="dxa"/>
          </w:tcPr>
          <w:p>
            <w:pPr>
              <w:pStyle w:val="0"/>
            </w:pPr>
            <w:r>
              <w:rPr>
                <w:sz w:val="20"/>
              </w:rPr>
            </w:r>
          </w:p>
        </w:tc>
        <w:tc>
          <w:tcPr>
            <w:tcW w:w="850" w:type="dxa"/>
          </w:tcPr>
          <w:p>
            <w:pPr>
              <w:pStyle w:val="0"/>
            </w:pPr>
            <w:r>
              <w:rPr>
                <w:sz w:val="20"/>
              </w:rPr>
            </w:r>
          </w:p>
        </w:tc>
        <w:tc>
          <w:tcPr>
            <w:tcW w:w="638" w:type="dxa"/>
          </w:tcPr>
          <w:p>
            <w:pPr>
              <w:pStyle w:val="0"/>
              <w:jc w:val="both"/>
            </w:pPr>
            <w:r>
              <w:rPr>
                <w:sz w:val="20"/>
              </w:rPr>
            </w:r>
          </w:p>
        </w:tc>
        <w:tc>
          <w:tcPr>
            <w:tcW w:w="638" w:type="dxa"/>
          </w:tcPr>
          <w:p>
            <w:pPr>
              <w:pStyle w:val="0"/>
              <w:jc w:val="center"/>
            </w:pPr>
            <w:r>
              <w:rPr>
                <w:sz w:val="20"/>
              </w:rPr>
              <w:t xml:space="preserve">0101</w:t>
            </w:r>
          </w:p>
        </w:tc>
        <w:tc>
          <w:tcPr>
            <w:tcW w:w="907" w:type="dxa"/>
          </w:tcPr>
          <w:p>
            <w:pPr>
              <w:pStyle w:val="0"/>
              <w:jc w:val="center"/>
            </w:pPr>
            <w:r>
              <w:rPr>
                <w:sz w:val="20"/>
              </w:rPr>
              <w:t xml:space="preserve">x</w:t>
            </w:r>
          </w:p>
        </w:tc>
        <w:tc>
          <w:tcPr>
            <w:tcW w:w="1077" w:type="dxa"/>
          </w:tcPr>
          <w:p>
            <w:pPr>
              <w:pStyle w:val="0"/>
              <w:jc w:val="center"/>
            </w:pPr>
            <w:r>
              <w:rPr>
                <w:sz w:val="20"/>
              </w:rPr>
              <w:t xml:space="preserve">x</w:t>
            </w:r>
          </w:p>
        </w:tc>
        <w:tc>
          <w:tcPr>
            <w:tcW w:w="907" w:type="dxa"/>
          </w:tcPr>
          <w:p>
            <w:pPr>
              <w:pStyle w:val="0"/>
            </w:pPr>
            <w:r>
              <w:rPr>
                <w:sz w:val="20"/>
              </w:rPr>
            </w:r>
          </w:p>
        </w:tc>
        <w:tc>
          <w:tcPr>
            <w:tcW w:w="1134" w:type="dxa"/>
          </w:tcPr>
          <w:p>
            <w:pPr>
              <w:pStyle w:val="0"/>
            </w:pPr>
            <w:r>
              <w:rPr>
                <w:sz w:val="20"/>
              </w:rPr>
            </w:r>
          </w:p>
        </w:tc>
        <w:tc>
          <w:tcPr>
            <w:tcW w:w="1247" w:type="dxa"/>
          </w:tcPr>
          <w:p>
            <w:pPr>
              <w:pStyle w:val="0"/>
              <w:jc w:val="center"/>
            </w:pPr>
            <w:r>
              <w:rPr>
                <w:sz w:val="20"/>
              </w:rPr>
              <w:t xml:space="preserve">x</w:t>
            </w:r>
          </w:p>
        </w:tc>
        <w:tc>
          <w:tcPr>
            <w:tcW w:w="1018" w:type="dxa"/>
          </w:tcPr>
          <w:p>
            <w:pPr>
              <w:pStyle w:val="0"/>
              <w:jc w:val="center"/>
            </w:pPr>
            <w:r>
              <w:rPr>
                <w:sz w:val="20"/>
              </w:rPr>
              <w:t xml:space="preserve">x</w:t>
            </w:r>
          </w:p>
        </w:tc>
        <w:tc>
          <w:tcPr>
            <w:tcW w:w="680" w:type="dxa"/>
          </w:tcPr>
          <w:p>
            <w:pPr>
              <w:pStyle w:val="0"/>
              <w:jc w:val="center"/>
            </w:pPr>
            <w:r>
              <w:rPr>
                <w:sz w:val="20"/>
              </w:rPr>
              <w:t xml:space="preserve">x</w:t>
            </w:r>
          </w:p>
        </w:tc>
        <w:tc>
          <w:tcPr>
            <w:tcW w:w="907" w:type="dxa"/>
          </w:tcPr>
          <w:p>
            <w:pPr>
              <w:pStyle w:val="0"/>
              <w:jc w:val="center"/>
            </w:pPr>
            <w:r>
              <w:rPr>
                <w:sz w:val="20"/>
              </w:rPr>
              <w:t xml:space="preserve">x</w:t>
            </w:r>
          </w:p>
        </w:tc>
        <w:tc>
          <w:tcPr>
            <w:vMerge w:val="continue"/>
          </w:tcPr>
          <w:p/>
        </w:tc>
      </w:tr>
      <w:tr>
        <w:tc>
          <w:tcPr>
            <w:tcBorders>
              <w:left w:val="nil"/>
            </w:tcBorders>
            <w:vMerge w:val="continue"/>
          </w:tcPr>
          <w:p/>
        </w:tc>
        <w:tc>
          <w:tcPr>
            <w:vMerge w:val="continue"/>
          </w:tcPr>
          <w:p/>
        </w:tc>
        <w:tc>
          <w:tcPr>
            <w:tcW w:w="1531"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638" w:type="dxa"/>
          </w:tcPr>
          <w:p>
            <w:pPr>
              <w:pStyle w:val="0"/>
              <w:jc w:val="both"/>
            </w:pPr>
            <w:r>
              <w:rPr>
                <w:sz w:val="20"/>
              </w:rPr>
            </w:r>
          </w:p>
        </w:tc>
        <w:tc>
          <w:tcPr>
            <w:tcW w:w="638" w:type="dxa"/>
          </w:tcPr>
          <w:p>
            <w:pPr>
              <w:pStyle w:val="0"/>
            </w:pPr>
            <w:r>
              <w:rPr>
                <w:sz w:val="20"/>
              </w:rPr>
            </w:r>
          </w:p>
        </w:tc>
        <w:tc>
          <w:tcPr>
            <w:tcW w:w="907" w:type="dxa"/>
          </w:tcPr>
          <w:p>
            <w:pPr>
              <w:pStyle w:val="0"/>
              <w:jc w:val="center"/>
            </w:pPr>
            <w:r>
              <w:rPr>
                <w:sz w:val="20"/>
              </w:rPr>
              <w:t xml:space="preserve">x</w:t>
            </w:r>
          </w:p>
        </w:tc>
        <w:tc>
          <w:tcPr>
            <w:tcW w:w="1077" w:type="dxa"/>
          </w:tcPr>
          <w:p>
            <w:pPr>
              <w:pStyle w:val="0"/>
              <w:jc w:val="center"/>
            </w:pPr>
            <w:r>
              <w:rPr>
                <w:sz w:val="20"/>
              </w:rPr>
              <w:t xml:space="preserve">x</w:t>
            </w:r>
          </w:p>
        </w:tc>
        <w:tc>
          <w:tcPr>
            <w:tcW w:w="907" w:type="dxa"/>
          </w:tcPr>
          <w:p>
            <w:pPr>
              <w:pStyle w:val="0"/>
            </w:pPr>
            <w:r>
              <w:rPr>
                <w:sz w:val="20"/>
              </w:rPr>
            </w:r>
          </w:p>
        </w:tc>
        <w:tc>
          <w:tcPr>
            <w:tcW w:w="1134" w:type="dxa"/>
          </w:tcPr>
          <w:p>
            <w:pPr>
              <w:pStyle w:val="0"/>
            </w:pPr>
            <w:r>
              <w:rPr>
                <w:sz w:val="20"/>
              </w:rPr>
            </w:r>
          </w:p>
        </w:tc>
        <w:tc>
          <w:tcPr>
            <w:tcW w:w="1247" w:type="dxa"/>
          </w:tcPr>
          <w:p>
            <w:pPr>
              <w:pStyle w:val="0"/>
              <w:jc w:val="center"/>
            </w:pPr>
            <w:r>
              <w:rPr>
                <w:sz w:val="20"/>
              </w:rPr>
              <w:t xml:space="preserve">x</w:t>
            </w:r>
          </w:p>
        </w:tc>
        <w:tc>
          <w:tcPr>
            <w:tcW w:w="1018" w:type="dxa"/>
          </w:tcPr>
          <w:p>
            <w:pPr>
              <w:pStyle w:val="0"/>
              <w:jc w:val="center"/>
            </w:pPr>
            <w:r>
              <w:rPr>
                <w:sz w:val="20"/>
              </w:rPr>
              <w:t xml:space="preserve">x</w:t>
            </w:r>
          </w:p>
        </w:tc>
        <w:tc>
          <w:tcPr>
            <w:tcW w:w="680" w:type="dxa"/>
          </w:tcPr>
          <w:p>
            <w:pPr>
              <w:pStyle w:val="0"/>
              <w:jc w:val="center"/>
            </w:pPr>
            <w:r>
              <w:rPr>
                <w:sz w:val="20"/>
              </w:rPr>
              <w:t xml:space="preserve">x</w:t>
            </w:r>
          </w:p>
        </w:tc>
        <w:tc>
          <w:tcPr>
            <w:tcW w:w="907" w:type="dxa"/>
          </w:tcPr>
          <w:p>
            <w:pPr>
              <w:pStyle w:val="0"/>
              <w:jc w:val="center"/>
            </w:pPr>
            <w:r>
              <w:rPr>
                <w:sz w:val="20"/>
              </w:rPr>
              <w:t xml:space="preserve">x</w:t>
            </w:r>
          </w:p>
        </w:tc>
        <w:tc>
          <w:tcPr>
            <w:vMerge w:val="continue"/>
          </w:tcPr>
          <w:p/>
        </w:tc>
      </w:tr>
      <w:tr>
        <w:tc>
          <w:tcPr>
            <w:tcBorders>
              <w:left w:val="nil"/>
            </w:tcBorders>
            <w:vMerge w:val="continue"/>
          </w:tcPr>
          <w:p/>
        </w:tc>
        <w:tc>
          <w:tcPr>
            <w:vMerge w:val="continue"/>
          </w:tcPr>
          <w:p/>
        </w:tc>
        <w:tc>
          <w:tcPr>
            <w:tcW w:w="1531"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638" w:type="dxa"/>
          </w:tcPr>
          <w:p>
            <w:pPr>
              <w:pStyle w:val="0"/>
              <w:jc w:val="both"/>
            </w:pPr>
            <w:r>
              <w:rPr>
                <w:sz w:val="20"/>
              </w:rPr>
            </w:r>
          </w:p>
        </w:tc>
        <w:tc>
          <w:tcPr>
            <w:tcW w:w="638" w:type="dxa"/>
          </w:tcPr>
          <w:p>
            <w:pPr>
              <w:pStyle w:val="0"/>
              <w:jc w:val="center"/>
            </w:pPr>
            <w:r>
              <w:rPr>
                <w:sz w:val="20"/>
              </w:rPr>
              <w:t xml:space="preserve">0200</w:t>
            </w:r>
          </w:p>
        </w:tc>
        <w:tc>
          <w:tcPr>
            <w:tcW w:w="907"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018" w:type="dxa"/>
          </w:tcPr>
          <w:p>
            <w:pPr>
              <w:pStyle w:val="0"/>
            </w:pPr>
            <w:r>
              <w:rPr>
                <w:sz w:val="20"/>
              </w:rPr>
            </w:r>
          </w:p>
        </w:tc>
        <w:tc>
          <w:tcPr>
            <w:tcW w:w="680" w:type="dxa"/>
          </w:tcPr>
          <w:p>
            <w:pPr>
              <w:pStyle w:val="0"/>
            </w:pPr>
            <w:r>
              <w:rPr>
                <w:sz w:val="20"/>
              </w:rPr>
            </w:r>
          </w:p>
        </w:tc>
        <w:tc>
          <w:tcPr>
            <w:tcW w:w="907" w:type="dxa"/>
          </w:tcPr>
          <w:p>
            <w:pPr>
              <w:pStyle w:val="0"/>
            </w:pPr>
            <w:r>
              <w:rPr>
                <w:sz w:val="20"/>
              </w:rPr>
            </w:r>
          </w:p>
        </w:tc>
        <w:tc>
          <w:tcPr>
            <w:tcW w:w="1077" w:type="dxa"/>
            <w:vMerge w:val="restart"/>
          </w:tcPr>
          <w:p>
            <w:pPr>
              <w:pStyle w:val="0"/>
            </w:pPr>
            <w:r>
              <w:rPr>
                <w:sz w:val="20"/>
              </w:rPr>
            </w:r>
          </w:p>
        </w:tc>
      </w:tr>
      <w:tr>
        <w:tc>
          <w:tcPr>
            <w:tcBorders>
              <w:left w:val="nil"/>
            </w:tcBorders>
            <w:vMerge w:val="continue"/>
          </w:tcPr>
          <w:p/>
        </w:tc>
        <w:tc>
          <w:tcPr>
            <w:vMerge w:val="continue"/>
          </w:tcPr>
          <w:p/>
        </w:tc>
        <w:tc>
          <w:tcPr>
            <w:tcW w:w="1531" w:type="dxa"/>
          </w:tcPr>
          <w:p>
            <w:pPr>
              <w:pStyle w:val="0"/>
              <w:jc w:val="center"/>
            </w:pPr>
            <w:r>
              <w:rPr>
                <w:sz w:val="20"/>
              </w:rPr>
              <w:t xml:space="preserve">в том числе:</w:t>
            </w:r>
          </w:p>
        </w:tc>
        <w:tc>
          <w:tcPr>
            <w:tcW w:w="907" w:type="dxa"/>
          </w:tcPr>
          <w:p>
            <w:pPr>
              <w:pStyle w:val="0"/>
            </w:pPr>
            <w:r>
              <w:rPr>
                <w:sz w:val="20"/>
              </w:rPr>
            </w:r>
          </w:p>
        </w:tc>
        <w:tc>
          <w:tcPr>
            <w:tcW w:w="850" w:type="dxa"/>
          </w:tcPr>
          <w:p>
            <w:pPr>
              <w:pStyle w:val="0"/>
            </w:pPr>
            <w:r>
              <w:rPr>
                <w:sz w:val="20"/>
              </w:rPr>
            </w:r>
          </w:p>
        </w:tc>
        <w:tc>
          <w:tcPr>
            <w:tcW w:w="638" w:type="dxa"/>
          </w:tcPr>
          <w:p>
            <w:pPr>
              <w:pStyle w:val="0"/>
              <w:jc w:val="both"/>
            </w:pPr>
            <w:r>
              <w:rPr>
                <w:sz w:val="20"/>
              </w:rPr>
            </w:r>
          </w:p>
        </w:tc>
        <w:tc>
          <w:tcPr>
            <w:tcW w:w="638" w:type="dxa"/>
          </w:tcPr>
          <w:p>
            <w:pPr>
              <w:pStyle w:val="0"/>
              <w:jc w:val="center"/>
            </w:pPr>
            <w:r>
              <w:rPr>
                <w:sz w:val="20"/>
              </w:rPr>
              <w:t xml:space="preserve">0201</w:t>
            </w:r>
          </w:p>
        </w:tc>
        <w:tc>
          <w:tcPr>
            <w:tcW w:w="907" w:type="dxa"/>
          </w:tcPr>
          <w:p>
            <w:pPr>
              <w:pStyle w:val="0"/>
              <w:jc w:val="center"/>
            </w:pPr>
            <w:r>
              <w:rPr>
                <w:sz w:val="20"/>
              </w:rPr>
              <w:t xml:space="preserve">x</w:t>
            </w:r>
          </w:p>
        </w:tc>
        <w:tc>
          <w:tcPr>
            <w:tcW w:w="1077" w:type="dxa"/>
          </w:tcPr>
          <w:p>
            <w:pPr>
              <w:pStyle w:val="0"/>
              <w:jc w:val="center"/>
            </w:pPr>
            <w:r>
              <w:rPr>
                <w:sz w:val="20"/>
              </w:rPr>
              <w:t xml:space="preserve">x</w:t>
            </w:r>
          </w:p>
        </w:tc>
        <w:tc>
          <w:tcPr>
            <w:tcW w:w="907" w:type="dxa"/>
          </w:tcPr>
          <w:p>
            <w:pPr>
              <w:pStyle w:val="0"/>
            </w:pPr>
            <w:r>
              <w:rPr>
                <w:sz w:val="20"/>
              </w:rPr>
            </w:r>
          </w:p>
        </w:tc>
        <w:tc>
          <w:tcPr>
            <w:tcW w:w="1134" w:type="dxa"/>
          </w:tcPr>
          <w:p>
            <w:pPr>
              <w:pStyle w:val="0"/>
            </w:pPr>
            <w:r>
              <w:rPr>
                <w:sz w:val="20"/>
              </w:rPr>
            </w:r>
          </w:p>
        </w:tc>
        <w:tc>
          <w:tcPr>
            <w:tcW w:w="1247" w:type="dxa"/>
          </w:tcPr>
          <w:p>
            <w:pPr>
              <w:pStyle w:val="0"/>
              <w:jc w:val="center"/>
            </w:pPr>
            <w:r>
              <w:rPr>
                <w:sz w:val="20"/>
              </w:rPr>
              <w:t xml:space="preserve">x</w:t>
            </w:r>
          </w:p>
        </w:tc>
        <w:tc>
          <w:tcPr>
            <w:tcW w:w="1018" w:type="dxa"/>
          </w:tcPr>
          <w:p>
            <w:pPr>
              <w:pStyle w:val="0"/>
              <w:jc w:val="center"/>
            </w:pPr>
            <w:r>
              <w:rPr>
                <w:sz w:val="20"/>
              </w:rPr>
              <w:t xml:space="preserve">x</w:t>
            </w:r>
          </w:p>
        </w:tc>
        <w:tc>
          <w:tcPr>
            <w:tcW w:w="680" w:type="dxa"/>
          </w:tcPr>
          <w:p>
            <w:pPr>
              <w:pStyle w:val="0"/>
              <w:jc w:val="center"/>
            </w:pPr>
            <w:r>
              <w:rPr>
                <w:sz w:val="20"/>
              </w:rPr>
              <w:t xml:space="preserve">x</w:t>
            </w:r>
          </w:p>
        </w:tc>
        <w:tc>
          <w:tcPr>
            <w:tcW w:w="907" w:type="dxa"/>
          </w:tcPr>
          <w:p>
            <w:pPr>
              <w:pStyle w:val="0"/>
              <w:jc w:val="center"/>
            </w:pPr>
            <w:r>
              <w:rPr>
                <w:sz w:val="20"/>
              </w:rPr>
              <w:t xml:space="preserve">x</w:t>
            </w:r>
          </w:p>
        </w:tc>
        <w:tc>
          <w:tcPr>
            <w:vMerge w:val="continue"/>
          </w:tcPr>
          <w:p/>
        </w:tc>
      </w:tr>
      <w:tr>
        <w:tc>
          <w:tcPr>
            <w:tcBorders>
              <w:left w:val="nil"/>
            </w:tcBorders>
            <w:vMerge w:val="continue"/>
          </w:tcPr>
          <w:p/>
        </w:tc>
        <w:tc>
          <w:tcPr>
            <w:vMerge w:val="continue"/>
          </w:tcPr>
          <w:p/>
        </w:tc>
        <w:tc>
          <w:tcPr>
            <w:tcW w:w="1531"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638" w:type="dxa"/>
          </w:tcPr>
          <w:p>
            <w:pPr>
              <w:pStyle w:val="0"/>
              <w:jc w:val="both"/>
            </w:pPr>
            <w:r>
              <w:rPr>
                <w:sz w:val="20"/>
              </w:rPr>
            </w:r>
          </w:p>
        </w:tc>
        <w:tc>
          <w:tcPr>
            <w:tcW w:w="638" w:type="dxa"/>
          </w:tcPr>
          <w:p>
            <w:pPr>
              <w:pStyle w:val="0"/>
            </w:pPr>
            <w:r>
              <w:rPr>
                <w:sz w:val="20"/>
              </w:rPr>
            </w:r>
          </w:p>
        </w:tc>
        <w:tc>
          <w:tcPr>
            <w:tcW w:w="907" w:type="dxa"/>
          </w:tcPr>
          <w:p>
            <w:pPr>
              <w:pStyle w:val="0"/>
              <w:jc w:val="center"/>
            </w:pPr>
            <w:r>
              <w:rPr>
                <w:sz w:val="20"/>
              </w:rPr>
              <w:t xml:space="preserve">x</w:t>
            </w:r>
          </w:p>
        </w:tc>
        <w:tc>
          <w:tcPr>
            <w:tcW w:w="1077" w:type="dxa"/>
          </w:tcPr>
          <w:p>
            <w:pPr>
              <w:pStyle w:val="0"/>
              <w:jc w:val="center"/>
            </w:pPr>
            <w:r>
              <w:rPr>
                <w:sz w:val="20"/>
              </w:rPr>
              <w:t xml:space="preserve">x</w:t>
            </w:r>
          </w:p>
        </w:tc>
        <w:tc>
          <w:tcPr>
            <w:tcW w:w="907" w:type="dxa"/>
          </w:tcPr>
          <w:p>
            <w:pPr>
              <w:pStyle w:val="0"/>
            </w:pPr>
            <w:r>
              <w:rPr>
                <w:sz w:val="20"/>
              </w:rPr>
            </w:r>
          </w:p>
        </w:tc>
        <w:tc>
          <w:tcPr>
            <w:tcW w:w="1134" w:type="dxa"/>
          </w:tcPr>
          <w:p>
            <w:pPr>
              <w:pStyle w:val="0"/>
            </w:pPr>
            <w:r>
              <w:rPr>
                <w:sz w:val="20"/>
              </w:rPr>
            </w:r>
          </w:p>
        </w:tc>
        <w:tc>
          <w:tcPr>
            <w:tcW w:w="1247" w:type="dxa"/>
          </w:tcPr>
          <w:p>
            <w:pPr>
              <w:pStyle w:val="0"/>
              <w:jc w:val="center"/>
            </w:pPr>
            <w:r>
              <w:rPr>
                <w:sz w:val="20"/>
              </w:rPr>
              <w:t xml:space="preserve">x</w:t>
            </w:r>
          </w:p>
        </w:tc>
        <w:tc>
          <w:tcPr>
            <w:tcW w:w="1018" w:type="dxa"/>
          </w:tcPr>
          <w:p>
            <w:pPr>
              <w:pStyle w:val="0"/>
              <w:jc w:val="center"/>
            </w:pPr>
            <w:r>
              <w:rPr>
                <w:sz w:val="20"/>
              </w:rPr>
              <w:t xml:space="preserve">x</w:t>
            </w:r>
          </w:p>
        </w:tc>
        <w:tc>
          <w:tcPr>
            <w:tcW w:w="680" w:type="dxa"/>
          </w:tcPr>
          <w:p>
            <w:pPr>
              <w:pStyle w:val="0"/>
              <w:jc w:val="center"/>
            </w:pPr>
            <w:r>
              <w:rPr>
                <w:sz w:val="20"/>
              </w:rPr>
              <w:t xml:space="preserve">x</w:t>
            </w:r>
          </w:p>
        </w:tc>
        <w:tc>
          <w:tcPr>
            <w:tcW w:w="907" w:type="dxa"/>
          </w:tcPr>
          <w:p>
            <w:pPr>
              <w:pStyle w:val="0"/>
              <w:jc w:val="center"/>
            </w:pPr>
            <w:r>
              <w:rPr>
                <w:sz w:val="20"/>
              </w:rPr>
              <w:t xml:space="preserve">x</w:t>
            </w:r>
          </w:p>
        </w:tc>
        <w:tc>
          <w:tcPr>
            <w:vMerge w:val="continue"/>
          </w:tcPr>
          <w:p/>
        </w:tc>
      </w:tr>
    </w:tbl>
    <w:p>
      <w:pPr>
        <w:pStyle w:val="0"/>
        <w:jc w:val="both"/>
      </w:pPr>
      <w:r>
        <w:rPr>
          <w:sz w:val="20"/>
        </w:rPr>
      </w:r>
    </w:p>
    <w:tbl>
      <w:tblPr>
        <w:tblInd w:w="0" w:type="dxa"/>
        <w:tblW w:w="5000" w:type="pct"/>
        <w:tblBorders>
          <w:top w:val="single" w:sz="4"/>
          <w:left w:val="single" w:sz="4"/>
          <w:bottom w:val="single" w:sz="4"/>
          <w:insideV w:val="single" w:sz="4"/>
          <w:insideH w:val="single" w:sz="4"/>
        </w:tblBorders>
        <w:tblCellMar>
          <w:top w:w="102" w:type="dxa"/>
          <w:left w:w="62" w:type="dxa"/>
          <w:bottom w:w="102" w:type="dxa"/>
          <w:right w:w="62" w:type="dxa"/>
        </w:tblCellMar>
      </w:tblPr>
      <w:tblGrid>
        <w:gridCol w:w="811"/>
        <w:gridCol w:w="737"/>
        <w:gridCol w:w="1361"/>
        <w:gridCol w:w="763"/>
        <w:gridCol w:w="1361"/>
        <w:gridCol w:w="680"/>
        <w:gridCol w:w="1361"/>
        <w:gridCol w:w="680"/>
        <w:gridCol w:w="1361"/>
        <w:gridCol w:w="680"/>
        <w:gridCol w:w="1361"/>
        <w:gridCol w:w="680"/>
        <w:gridCol w:w="1361"/>
        <w:gridCol w:w="680"/>
        <w:gridCol w:w="1361"/>
        <w:gridCol w:w="680"/>
        <w:gridCol w:w="1361"/>
      </w:tblGrid>
      <w:tr>
        <w:tc>
          <w:tcPr>
            <w:tcW w:w="811" w:type="dxa"/>
            <w:vMerge w:val="restart"/>
          </w:tcPr>
          <w:p>
            <w:pPr>
              <w:pStyle w:val="0"/>
              <w:jc w:val="center"/>
            </w:pPr>
            <w:r>
              <w:rPr>
                <w:sz w:val="20"/>
              </w:rPr>
              <w:t xml:space="preserve">Код строки</w:t>
            </w:r>
          </w:p>
        </w:tc>
        <w:tc>
          <w:tcPr>
            <w:gridSpan w:val="16"/>
            <w:tcW w:w="16468" w:type="dxa"/>
            <w:tcBorders>
              <w:right w:val="nil"/>
            </w:tcBorders>
          </w:tcPr>
          <w:p>
            <w:pPr>
              <w:pStyle w:val="0"/>
              <w:jc w:val="center"/>
            </w:pPr>
            <w:r>
              <w:rPr>
                <w:sz w:val="20"/>
              </w:rPr>
              <w:t xml:space="preserve">Объем обязательств, принятых в целях достижения результатов предоставления Иного межбюджетного трансферта, руб</w:t>
            </w:r>
          </w:p>
        </w:tc>
      </w:tr>
      <w:tr>
        <w:tc>
          <w:tcPr>
            <w:vMerge w:val="continue"/>
          </w:tcPr>
          <w:p/>
        </w:tc>
        <w:tc>
          <w:tcPr>
            <w:gridSpan w:val="4"/>
            <w:tcW w:w="4222" w:type="dxa"/>
            <w:vMerge w:val="restart"/>
          </w:tcPr>
          <w:p>
            <w:pPr>
              <w:pStyle w:val="0"/>
              <w:jc w:val="center"/>
            </w:pPr>
            <w:r>
              <w:rPr>
                <w:sz w:val="20"/>
              </w:rPr>
              <w:t xml:space="preserve">всего</w:t>
            </w:r>
          </w:p>
        </w:tc>
        <w:tc>
          <w:tcPr>
            <w:gridSpan w:val="12"/>
            <w:tcW w:w="12246" w:type="dxa"/>
            <w:tcBorders>
              <w:right w:val="nil"/>
            </w:tcBorders>
          </w:tcPr>
          <w:p>
            <w:pPr>
              <w:pStyle w:val="0"/>
              <w:jc w:val="center"/>
            </w:pPr>
            <w:r>
              <w:rPr>
                <w:sz w:val="20"/>
              </w:rPr>
              <w:t xml:space="preserve">в том числе:</w:t>
            </w:r>
          </w:p>
        </w:tc>
      </w:tr>
      <w:tr>
        <w:tc>
          <w:tcPr>
            <w:vMerge w:val="continue"/>
          </w:tcPr>
          <w:p/>
        </w:tc>
        <w:tc>
          <w:tcPr>
            <w:gridSpan w:val="4"/>
            <w:vMerge w:val="continue"/>
          </w:tcPr>
          <w:p/>
        </w:tc>
        <w:tc>
          <w:tcPr>
            <w:gridSpan w:val="4"/>
            <w:tcW w:w="4082" w:type="dxa"/>
          </w:tcPr>
          <w:p>
            <w:pPr>
              <w:pStyle w:val="0"/>
              <w:jc w:val="center"/>
            </w:pPr>
            <w:r>
              <w:rPr>
                <w:sz w:val="20"/>
              </w:rPr>
              <w:t xml:space="preserve">получателями средств местного бюджета</w:t>
            </w:r>
          </w:p>
        </w:tc>
        <w:tc>
          <w:tcPr>
            <w:gridSpan w:val="4"/>
            <w:tcW w:w="4082" w:type="dxa"/>
          </w:tcPr>
          <w:p>
            <w:pPr>
              <w:pStyle w:val="0"/>
              <w:jc w:val="center"/>
            </w:pPr>
            <w:r>
              <w:rPr>
                <w:sz w:val="20"/>
              </w:rPr>
              <w:t xml:space="preserve">получателями субсидии (бюджетных инвестиций) из местного бюджета</w:t>
            </w:r>
          </w:p>
        </w:tc>
        <w:tc>
          <w:tcPr>
            <w:gridSpan w:val="4"/>
            <w:tcW w:w="4082" w:type="dxa"/>
            <w:tcBorders>
              <w:right w:val="nil"/>
            </w:tcBorders>
          </w:tcPr>
          <w:p>
            <w:pPr>
              <w:pStyle w:val="0"/>
              <w:jc w:val="center"/>
            </w:pPr>
            <w:r>
              <w:rPr>
                <w:sz w:val="20"/>
              </w:rPr>
              <w:t xml:space="preserve">общий объем обязательств городских, сельских поселений (внутригородских районов), в размере софинансирования из бюджета муниципального района (городского округа с внутригородским делением) </w:t>
            </w:r>
            <w:hyperlink w:history="0" w:anchor="P2275" w:tooltip="&lt;22&gt; Заполняется в случае предоставления в соответствии с бюджетным законодательством Российской Федерации из бюджета муниципального района (городского округа с внутригородским делением) бюджетам городских, сельских поселений (внутригородских районов) межбюджетных трансфертов в целях достижения результатов предоставления Иного межбюджетного трансферта. Показатели формируются на основании сведений об общем объеме денежных обязательств городских, сельских поселений (внутригородских районов), принятых в цел...">
              <w:r>
                <w:rPr>
                  <w:sz w:val="20"/>
                  <w:color w:val="0000ff"/>
                </w:rPr>
                <w:t xml:space="preserve">&lt;22&gt;</w:t>
              </w:r>
            </w:hyperlink>
          </w:p>
        </w:tc>
      </w:tr>
      <w:tr>
        <w:tc>
          <w:tcPr>
            <w:vMerge w:val="continue"/>
          </w:tcPr>
          <w:p/>
        </w:tc>
        <w:tc>
          <w:tcPr>
            <w:gridSpan w:val="2"/>
            <w:tcW w:w="2098" w:type="dxa"/>
          </w:tcPr>
          <w:p>
            <w:pPr>
              <w:pStyle w:val="0"/>
              <w:jc w:val="center"/>
            </w:pPr>
            <w:r>
              <w:rPr>
                <w:sz w:val="20"/>
              </w:rPr>
              <w:t xml:space="preserve">обязательств</w:t>
            </w:r>
          </w:p>
        </w:tc>
        <w:tc>
          <w:tcPr>
            <w:gridSpan w:val="2"/>
            <w:tcW w:w="2124" w:type="dxa"/>
          </w:tcPr>
          <w:p>
            <w:pPr>
              <w:pStyle w:val="0"/>
              <w:jc w:val="center"/>
            </w:pPr>
            <w:r>
              <w:rPr>
                <w:sz w:val="20"/>
              </w:rPr>
              <w:t xml:space="preserve">денежных обязательств</w:t>
            </w:r>
          </w:p>
        </w:tc>
        <w:tc>
          <w:tcPr>
            <w:gridSpan w:val="2"/>
            <w:tcW w:w="2041" w:type="dxa"/>
          </w:tcPr>
          <w:p>
            <w:pPr>
              <w:pStyle w:val="0"/>
              <w:jc w:val="center"/>
            </w:pPr>
            <w:r>
              <w:rPr>
                <w:sz w:val="20"/>
              </w:rPr>
              <w:t xml:space="preserve">бюджетных обязательств</w:t>
            </w:r>
          </w:p>
        </w:tc>
        <w:tc>
          <w:tcPr>
            <w:gridSpan w:val="2"/>
            <w:tcW w:w="2041" w:type="dxa"/>
          </w:tcPr>
          <w:p>
            <w:pPr>
              <w:pStyle w:val="0"/>
              <w:jc w:val="center"/>
            </w:pPr>
            <w:r>
              <w:rPr>
                <w:sz w:val="20"/>
              </w:rPr>
              <w:t xml:space="preserve">денежных обязательств</w:t>
            </w:r>
          </w:p>
        </w:tc>
        <w:tc>
          <w:tcPr>
            <w:gridSpan w:val="2"/>
            <w:tcW w:w="2041" w:type="dxa"/>
          </w:tcPr>
          <w:p>
            <w:pPr>
              <w:pStyle w:val="0"/>
              <w:jc w:val="center"/>
            </w:pPr>
            <w:r>
              <w:rPr>
                <w:sz w:val="20"/>
              </w:rPr>
              <w:t xml:space="preserve">обязательств</w:t>
            </w:r>
          </w:p>
        </w:tc>
        <w:tc>
          <w:tcPr>
            <w:gridSpan w:val="2"/>
            <w:tcW w:w="2041" w:type="dxa"/>
          </w:tcPr>
          <w:p>
            <w:pPr>
              <w:pStyle w:val="0"/>
              <w:jc w:val="center"/>
            </w:pPr>
            <w:r>
              <w:rPr>
                <w:sz w:val="20"/>
              </w:rPr>
              <w:t xml:space="preserve">денежных обязательств</w:t>
            </w:r>
          </w:p>
        </w:tc>
        <w:tc>
          <w:tcPr>
            <w:gridSpan w:val="2"/>
            <w:tcW w:w="2041" w:type="dxa"/>
          </w:tcPr>
          <w:p>
            <w:pPr>
              <w:pStyle w:val="0"/>
              <w:jc w:val="center"/>
            </w:pPr>
            <w:r>
              <w:rPr>
                <w:sz w:val="20"/>
              </w:rPr>
              <w:t xml:space="preserve">обязательств</w:t>
            </w:r>
          </w:p>
        </w:tc>
        <w:tc>
          <w:tcPr>
            <w:gridSpan w:val="2"/>
            <w:tcW w:w="2041" w:type="dxa"/>
            <w:tcBorders>
              <w:right w:val="nil"/>
            </w:tcBorders>
          </w:tcPr>
          <w:p>
            <w:pPr>
              <w:pStyle w:val="0"/>
              <w:jc w:val="center"/>
            </w:pPr>
            <w:r>
              <w:rPr>
                <w:sz w:val="20"/>
              </w:rPr>
              <w:t xml:space="preserve">денежных обязательств</w:t>
            </w:r>
          </w:p>
        </w:tc>
      </w:tr>
      <w:tr>
        <w:tc>
          <w:tcPr>
            <w:vMerge w:val="continue"/>
          </w:tcPr>
          <w:p/>
        </w:tc>
        <w:tc>
          <w:tcPr>
            <w:tcW w:w="737" w:type="dxa"/>
          </w:tcPr>
          <w:p>
            <w:pPr>
              <w:pStyle w:val="0"/>
              <w:jc w:val="center"/>
            </w:pPr>
            <w:r>
              <w:rPr>
                <w:sz w:val="20"/>
              </w:rPr>
              <w:t xml:space="preserve">всего (</w:t>
            </w:r>
            <w:hyperlink w:history="0" w:anchor="P2157" w:tooltip="20">
              <w:r>
                <w:rPr>
                  <w:sz w:val="20"/>
                  <w:color w:val="0000ff"/>
                </w:rPr>
                <w:t xml:space="preserve">гр. 20</w:t>
              </w:r>
            </w:hyperlink>
            <w:r>
              <w:rPr>
                <w:sz w:val="20"/>
              </w:rPr>
              <w:t xml:space="preserve"> + </w:t>
            </w:r>
            <w:hyperlink w:history="0" w:anchor="P2161" w:tooltip="24">
              <w:r>
                <w:rPr>
                  <w:sz w:val="20"/>
                  <w:color w:val="0000ff"/>
                </w:rPr>
                <w:t xml:space="preserve">гр. 24</w:t>
              </w:r>
            </w:hyperlink>
            <w:r>
              <w:rPr>
                <w:sz w:val="20"/>
              </w:rPr>
              <w:t xml:space="preserve"> + </w:t>
            </w:r>
            <w:hyperlink w:history="0" w:anchor="P2165" w:tooltip="28">
              <w:r>
                <w:rPr>
                  <w:sz w:val="20"/>
                  <w:color w:val="0000ff"/>
                </w:rPr>
                <w:t xml:space="preserve">гр. 28</w:t>
              </w:r>
            </w:hyperlink>
            <w:r>
              <w:rPr>
                <w:sz w:val="20"/>
              </w:rPr>
              <w:t xml:space="preserve">)</w:t>
            </w:r>
          </w:p>
        </w:tc>
        <w:tc>
          <w:tcPr>
            <w:tcW w:w="1361" w:type="dxa"/>
          </w:tcPr>
          <w:p>
            <w:pPr>
              <w:pStyle w:val="0"/>
              <w:jc w:val="center"/>
            </w:pPr>
            <w:r>
              <w:rPr>
                <w:sz w:val="20"/>
              </w:rPr>
              <w:t xml:space="preserve">из них в размере софинансирования из бюджета субъекта Российской Федерации (</w:t>
            </w:r>
            <w:hyperlink w:history="0" w:anchor="P2158" w:tooltip="21">
              <w:r>
                <w:rPr>
                  <w:sz w:val="20"/>
                  <w:color w:val="0000ff"/>
                </w:rPr>
                <w:t xml:space="preserve">гр. 21</w:t>
              </w:r>
            </w:hyperlink>
            <w:r>
              <w:rPr>
                <w:sz w:val="20"/>
              </w:rPr>
              <w:t xml:space="preserve"> + </w:t>
            </w:r>
            <w:hyperlink w:history="0" w:anchor="P2162" w:tooltip="25">
              <w:r>
                <w:rPr>
                  <w:sz w:val="20"/>
                  <w:color w:val="0000ff"/>
                </w:rPr>
                <w:t xml:space="preserve">гр. 25</w:t>
              </w:r>
            </w:hyperlink>
            <w:r>
              <w:rPr>
                <w:sz w:val="20"/>
              </w:rPr>
              <w:t xml:space="preserve"> + </w:t>
            </w:r>
            <w:hyperlink w:history="0" w:anchor="P2166" w:tooltip="29">
              <w:r>
                <w:rPr>
                  <w:sz w:val="20"/>
                  <w:color w:val="0000ff"/>
                </w:rPr>
                <w:t xml:space="preserve">гр. 29</w:t>
              </w:r>
            </w:hyperlink>
            <w:r>
              <w:rPr>
                <w:sz w:val="20"/>
              </w:rPr>
              <w:t xml:space="preserve">)</w:t>
            </w:r>
          </w:p>
        </w:tc>
        <w:tc>
          <w:tcPr>
            <w:tcW w:w="763" w:type="dxa"/>
          </w:tcPr>
          <w:p>
            <w:pPr>
              <w:pStyle w:val="0"/>
              <w:jc w:val="center"/>
            </w:pPr>
            <w:r>
              <w:rPr>
                <w:sz w:val="20"/>
              </w:rPr>
              <w:t xml:space="preserve">всего (</w:t>
            </w:r>
            <w:hyperlink w:history="0" w:anchor="P2159" w:tooltip="22">
              <w:r>
                <w:rPr>
                  <w:sz w:val="20"/>
                  <w:color w:val="0000ff"/>
                </w:rPr>
                <w:t xml:space="preserve">гр. 22</w:t>
              </w:r>
            </w:hyperlink>
            <w:r>
              <w:rPr>
                <w:sz w:val="20"/>
              </w:rPr>
              <w:t xml:space="preserve"> + </w:t>
            </w:r>
            <w:hyperlink w:history="0" w:anchor="P2163" w:tooltip="26">
              <w:r>
                <w:rPr>
                  <w:sz w:val="20"/>
                  <w:color w:val="0000ff"/>
                </w:rPr>
                <w:t xml:space="preserve">гр. 26</w:t>
              </w:r>
            </w:hyperlink>
            <w:r>
              <w:rPr>
                <w:sz w:val="20"/>
              </w:rPr>
              <w:t xml:space="preserve"> + </w:t>
            </w:r>
            <w:hyperlink w:history="0" w:anchor="P2167" w:tooltip="30">
              <w:r>
                <w:rPr>
                  <w:sz w:val="20"/>
                  <w:color w:val="0000ff"/>
                </w:rPr>
                <w:t xml:space="preserve">гр. 30</w:t>
              </w:r>
            </w:hyperlink>
            <w:r>
              <w:rPr>
                <w:sz w:val="20"/>
              </w:rPr>
              <w:t xml:space="preserve">)</w:t>
            </w:r>
          </w:p>
        </w:tc>
        <w:tc>
          <w:tcPr>
            <w:tcW w:w="1361" w:type="dxa"/>
          </w:tcPr>
          <w:p>
            <w:pPr>
              <w:pStyle w:val="0"/>
              <w:jc w:val="center"/>
            </w:pPr>
            <w:r>
              <w:rPr>
                <w:sz w:val="20"/>
              </w:rPr>
              <w:t xml:space="preserve">из них в размере софинансирования из бюджета субъекта Российской Федерации (</w:t>
            </w:r>
            <w:hyperlink w:history="0" w:anchor="P2160" w:tooltip="23">
              <w:r>
                <w:rPr>
                  <w:sz w:val="20"/>
                  <w:color w:val="0000ff"/>
                </w:rPr>
                <w:t xml:space="preserve">гр. 23</w:t>
              </w:r>
            </w:hyperlink>
            <w:r>
              <w:rPr>
                <w:sz w:val="20"/>
              </w:rPr>
              <w:t xml:space="preserve"> + </w:t>
            </w:r>
            <w:hyperlink w:history="0" w:anchor="P2164" w:tooltip="27">
              <w:r>
                <w:rPr>
                  <w:sz w:val="20"/>
                  <w:color w:val="0000ff"/>
                </w:rPr>
                <w:t xml:space="preserve">гр. 27</w:t>
              </w:r>
            </w:hyperlink>
            <w:r>
              <w:rPr>
                <w:sz w:val="20"/>
              </w:rPr>
              <w:t xml:space="preserve"> + </w:t>
            </w:r>
            <w:hyperlink w:history="0" w:anchor="P2168" w:tooltip="31">
              <w:r>
                <w:rPr>
                  <w:sz w:val="20"/>
                  <w:color w:val="0000ff"/>
                </w:rPr>
                <w:t xml:space="preserve">гр. 31</w:t>
              </w:r>
            </w:hyperlink>
            <w:r>
              <w:rPr>
                <w:sz w:val="20"/>
              </w:rPr>
              <w:t xml:space="preserve">)</w:t>
            </w:r>
          </w:p>
        </w:tc>
        <w:tc>
          <w:tcPr>
            <w:tcW w:w="680" w:type="dxa"/>
          </w:tcPr>
          <w:p>
            <w:pPr>
              <w:pStyle w:val="0"/>
              <w:jc w:val="center"/>
            </w:pPr>
            <w:r>
              <w:rPr>
                <w:sz w:val="20"/>
              </w:rPr>
              <w:t xml:space="preserve">всего</w:t>
            </w:r>
          </w:p>
        </w:tc>
        <w:tc>
          <w:tcPr>
            <w:tcW w:w="1361" w:type="dxa"/>
          </w:tcPr>
          <w:p>
            <w:pPr>
              <w:pStyle w:val="0"/>
              <w:jc w:val="center"/>
            </w:pPr>
            <w:r>
              <w:rPr>
                <w:sz w:val="20"/>
              </w:rPr>
              <w:t xml:space="preserve">из них в размере софинансирования из бюджета субъекта Российской Федерации</w:t>
            </w:r>
          </w:p>
        </w:tc>
        <w:tc>
          <w:tcPr>
            <w:tcW w:w="680" w:type="dxa"/>
          </w:tcPr>
          <w:p>
            <w:pPr>
              <w:pStyle w:val="0"/>
              <w:jc w:val="center"/>
            </w:pPr>
            <w:r>
              <w:rPr>
                <w:sz w:val="20"/>
              </w:rPr>
              <w:t xml:space="preserve">всего</w:t>
            </w:r>
          </w:p>
        </w:tc>
        <w:tc>
          <w:tcPr>
            <w:tcW w:w="1361" w:type="dxa"/>
          </w:tcPr>
          <w:p>
            <w:pPr>
              <w:pStyle w:val="0"/>
              <w:jc w:val="center"/>
            </w:pPr>
            <w:r>
              <w:rPr>
                <w:sz w:val="20"/>
              </w:rPr>
              <w:t xml:space="preserve">из них в размере софинансирования из бюджета субъекта Российской Федерации</w:t>
            </w:r>
          </w:p>
        </w:tc>
        <w:tc>
          <w:tcPr>
            <w:tcW w:w="680" w:type="dxa"/>
          </w:tcPr>
          <w:p>
            <w:pPr>
              <w:pStyle w:val="0"/>
              <w:jc w:val="center"/>
            </w:pPr>
            <w:r>
              <w:rPr>
                <w:sz w:val="20"/>
              </w:rPr>
              <w:t xml:space="preserve">всего</w:t>
            </w:r>
          </w:p>
        </w:tc>
        <w:tc>
          <w:tcPr>
            <w:tcW w:w="1361" w:type="dxa"/>
          </w:tcPr>
          <w:p>
            <w:pPr>
              <w:pStyle w:val="0"/>
              <w:jc w:val="center"/>
            </w:pPr>
            <w:r>
              <w:rPr>
                <w:sz w:val="20"/>
              </w:rPr>
              <w:t xml:space="preserve">из них в размере софинансирования из бюджета субъекта Российской Федерации</w:t>
            </w:r>
          </w:p>
        </w:tc>
        <w:tc>
          <w:tcPr>
            <w:tcW w:w="680" w:type="dxa"/>
          </w:tcPr>
          <w:p>
            <w:pPr>
              <w:pStyle w:val="0"/>
              <w:jc w:val="center"/>
            </w:pPr>
            <w:r>
              <w:rPr>
                <w:sz w:val="20"/>
              </w:rPr>
              <w:t xml:space="preserve">всего</w:t>
            </w:r>
          </w:p>
        </w:tc>
        <w:tc>
          <w:tcPr>
            <w:tcW w:w="1361" w:type="dxa"/>
          </w:tcPr>
          <w:p>
            <w:pPr>
              <w:pStyle w:val="0"/>
              <w:jc w:val="center"/>
            </w:pPr>
            <w:r>
              <w:rPr>
                <w:sz w:val="20"/>
              </w:rPr>
              <w:t xml:space="preserve">из них в размере софинансирования из бюджета субъекта Российской Федерации</w:t>
            </w:r>
          </w:p>
        </w:tc>
        <w:tc>
          <w:tcPr>
            <w:tcW w:w="680" w:type="dxa"/>
          </w:tcPr>
          <w:p>
            <w:pPr>
              <w:pStyle w:val="0"/>
              <w:jc w:val="center"/>
            </w:pPr>
            <w:r>
              <w:rPr>
                <w:sz w:val="20"/>
              </w:rPr>
              <w:t xml:space="preserve">всего</w:t>
            </w:r>
          </w:p>
        </w:tc>
        <w:tc>
          <w:tcPr>
            <w:tcW w:w="1361" w:type="dxa"/>
          </w:tcPr>
          <w:p>
            <w:pPr>
              <w:pStyle w:val="0"/>
              <w:jc w:val="center"/>
            </w:pPr>
            <w:r>
              <w:rPr>
                <w:sz w:val="20"/>
              </w:rPr>
              <w:t xml:space="preserve">из них в размере софинансирования из бюджета субъекта Российской Федерации</w:t>
            </w:r>
          </w:p>
        </w:tc>
        <w:tc>
          <w:tcPr>
            <w:tcW w:w="680" w:type="dxa"/>
          </w:tcPr>
          <w:p>
            <w:pPr>
              <w:pStyle w:val="0"/>
              <w:jc w:val="center"/>
            </w:pPr>
            <w:r>
              <w:rPr>
                <w:sz w:val="20"/>
              </w:rPr>
              <w:t xml:space="preserve">всего</w:t>
            </w:r>
          </w:p>
        </w:tc>
        <w:tc>
          <w:tcPr>
            <w:tcW w:w="1361" w:type="dxa"/>
            <w:tcBorders>
              <w:right w:val="nil"/>
            </w:tcBorders>
          </w:tcPr>
          <w:p>
            <w:pPr>
              <w:pStyle w:val="0"/>
              <w:jc w:val="center"/>
            </w:pPr>
            <w:r>
              <w:rPr>
                <w:sz w:val="20"/>
              </w:rPr>
              <w:t xml:space="preserve">из них в размере софинансирования из бюджета субъекта Российской Федерации</w:t>
            </w:r>
          </w:p>
        </w:tc>
      </w:tr>
      <w:tr>
        <w:tc>
          <w:tcPr>
            <w:tcW w:w="811" w:type="dxa"/>
          </w:tcPr>
          <w:p>
            <w:pPr>
              <w:pStyle w:val="0"/>
              <w:jc w:val="center"/>
            </w:pPr>
            <w:r>
              <w:rPr>
                <w:sz w:val="20"/>
              </w:rPr>
              <w:t xml:space="preserve">6</w:t>
            </w:r>
          </w:p>
        </w:tc>
        <w:tc>
          <w:tcPr>
            <w:tcW w:w="737" w:type="dxa"/>
          </w:tcPr>
          <w:p>
            <w:pPr>
              <w:pStyle w:val="0"/>
              <w:jc w:val="center"/>
            </w:pPr>
            <w:r>
              <w:rPr>
                <w:sz w:val="20"/>
              </w:rPr>
              <w:t xml:space="preserve">16</w:t>
            </w:r>
          </w:p>
        </w:tc>
        <w:tc>
          <w:tcPr>
            <w:tcW w:w="1361" w:type="dxa"/>
          </w:tcPr>
          <w:bookmarkStart w:id="2154" w:name="P2154"/>
          <w:bookmarkEnd w:id="2154"/>
          <w:p>
            <w:pPr>
              <w:pStyle w:val="0"/>
              <w:jc w:val="center"/>
            </w:pPr>
            <w:r>
              <w:rPr>
                <w:sz w:val="20"/>
              </w:rPr>
              <w:t xml:space="preserve">17</w:t>
            </w:r>
          </w:p>
        </w:tc>
        <w:tc>
          <w:tcPr>
            <w:tcW w:w="763" w:type="dxa"/>
          </w:tcPr>
          <w:p>
            <w:pPr>
              <w:pStyle w:val="0"/>
              <w:jc w:val="center"/>
            </w:pPr>
            <w:r>
              <w:rPr>
                <w:sz w:val="20"/>
              </w:rPr>
              <w:t xml:space="preserve">18</w:t>
            </w:r>
          </w:p>
        </w:tc>
        <w:tc>
          <w:tcPr>
            <w:tcW w:w="1361" w:type="dxa"/>
          </w:tcPr>
          <w:bookmarkStart w:id="2156" w:name="P2156"/>
          <w:bookmarkEnd w:id="2156"/>
          <w:p>
            <w:pPr>
              <w:pStyle w:val="0"/>
              <w:jc w:val="center"/>
            </w:pPr>
            <w:r>
              <w:rPr>
                <w:sz w:val="20"/>
              </w:rPr>
              <w:t xml:space="preserve">19</w:t>
            </w:r>
          </w:p>
        </w:tc>
        <w:tc>
          <w:tcPr>
            <w:tcW w:w="680" w:type="dxa"/>
          </w:tcPr>
          <w:bookmarkStart w:id="2157" w:name="P2157"/>
          <w:bookmarkEnd w:id="2157"/>
          <w:p>
            <w:pPr>
              <w:pStyle w:val="0"/>
              <w:jc w:val="center"/>
            </w:pPr>
            <w:r>
              <w:rPr>
                <w:sz w:val="20"/>
              </w:rPr>
              <w:t xml:space="preserve">20</w:t>
            </w:r>
          </w:p>
        </w:tc>
        <w:tc>
          <w:tcPr>
            <w:tcW w:w="1361" w:type="dxa"/>
          </w:tcPr>
          <w:bookmarkStart w:id="2158" w:name="P2158"/>
          <w:bookmarkEnd w:id="2158"/>
          <w:p>
            <w:pPr>
              <w:pStyle w:val="0"/>
              <w:jc w:val="center"/>
            </w:pPr>
            <w:r>
              <w:rPr>
                <w:sz w:val="20"/>
              </w:rPr>
              <w:t xml:space="preserve">21</w:t>
            </w:r>
          </w:p>
        </w:tc>
        <w:tc>
          <w:tcPr>
            <w:tcW w:w="680" w:type="dxa"/>
          </w:tcPr>
          <w:bookmarkStart w:id="2159" w:name="P2159"/>
          <w:bookmarkEnd w:id="2159"/>
          <w:p>
            <w:pPr>
              <w:pStyle w:val="0"/>
              <w:jc w:val="center"/>
            </w:pPr>
            <w:r>
              <w:rPr>
                <w:sz w:val="20"/>
              </w:rPr>
              <w:t xml:space="preserve">22</w:t>
            </w:r>
          </w:p>
        </w:tc>
        <w:tc>
          <w:tcPr>
            <w:tcW w:w="1361" w:type="dxa"/>
          </w:tcPr>
          <w:bookmarkStart w:id="2160" w:name="P2160"/>
          <w:bookmarkEnd w:id="2160"/>
          <w:p>
            <w:pPr>
              <w:pStyle w:val="0"/>
              <w:jc w:val="center"/>
            </w:pPr>
            <w:r>
              <w:rPr>
                <w:sz w:val="20"/>
              </w:rPr>
              <w:t xml:space="preserve">23</w:t>
            </w:r>
          </w:p>
        </w:tc>
        <w:tc>
          <w:tcPr>
            <w:tcW w:w="680" w:type="dxa"/>
          </w:tcPr>
          <w:bookmarkStart w:id="2161" w:name="P2161"/>
          <w:bookmarkEnd w:id="2161"/>
          <w:p>
            <w:pPr>
              <w:pStyle w:val="0"/>
              <w:jc w:val="center"/>
            </w:pPr>
            <w:r>
              <w:rPr>
                <w:sz w:val="20"/>
              </w:rPr>
              <w:t xml:space="preserve">24</w:t>
            </w:r>
          </w:p>
        </w:tc>
        <w:tc>
          <w:tcPr>
            <w:tcW w:w="1361" w:type="dxa"/>
          </w:tcPr>
          <w:bookmarkStart w:id="2162" w:name="P2162"/>
          <w:bookmarkEnd w:id="2162"/>
          <w:p>
            <w:pPr>
              <w:pStyle w:val="0"/>
              <w:jc w:val="center"/>
            </w:pPr>
            <w:r>
              <w:rPr>
                <w:sz w:val="20"/>
              </w:rPr>
              <w:t xml:space="preserve">25</w:t>
            </w:r>
          </w:p>
        </w:tc>
        <w:tc>
          <w:tcPr>
            <w:tcW w:w="680" w:type="dxa"/>
          </w:tcPr>
          <w:bookmarkStart w:id="2163" w:name="P2163"/>
          <w:bookmarkEnd w:id="2163"/>
          <w:p>
            <w:pPr>
              <w:pStyle w:val="0"/>
              <w:jc w:val="center"/>
            </w:pPr>
            <w:r>
              <w:rPr>
                <w:sz w:val="20"/>
              </w:rPr>
              <w:t xml:space="preserve">26</w:t>
            </w:r>
          </w:p>
        </w:tc>
        <w:tc>
          <w:tcPr>
            <w:tcW w:w="1361" w:type="dxa"/>
          </w:tcPr>
          <w:bookmarkStart w:id="2164" w:name="P2164"/>
          <w:bookmarkEnd w:id="2164"/>
          <w:p>
            <w:pPr>
              <w:pStyle w:val="0"/>
              <w:jc w:val="center"/>
            </w:pPr>
            <w:r>
              <w:rPr>
                <w:sz w:val="20"/>
              </w:rPr>
              <w:t xml:space="preserve">27</w:t>
            </w:r>
          </w:p>
        </w:tc>
        <w:tc>
          <w:tcPr>
            <w:tcW w:w="680" w:type="dxa"/>
          </w:tcPr>
          <w:bookmarkStart w:id="2165" w:name="P2165"/>
          <w:bookmarkEnd w:id="2165"/>
          <w:p>
            <w:pPr>
              <w:pStyle w:val="0"/>
              <w:jc w:val="center"/>
            </w:pPr>
            <w:r>
              <w:rPr>
                <w:sz w:val="20"/>
              </w:rPr>
              <w:t xml:space="preserve">28</w:t>
            </w:r>
          </w:p>
        </w:tc>
        <w:tc>
          <w:tcPr>
            <w:tcW w:w="1361" w:type="dxa"/>
          </w:tcPr>
          <w:bookmarkStart w:id="2166" w:name="P2166"/>
          <w:bookmarkEnd w:id="2166"/>
          <w:p>
            <w:pPr>
              <w:pStyle w:val="0"/>
              <w:jc w:val="center"/>
            </w:pPr>
            <w:r>
              <w:rPr>
                <w:sz w:val="20"/>
              </w:rPr>
              <w:t xml:space="preserve">29</w:t>
            </w:r>
          </w:p>
        </w:tc>
        <w:tc>
          <w:tcPr>
            <w:tcW w:w="680" w:type="dxa"/>
          </w:tcPr>
          <w:bookmarkStart w:id="2167" w:name="P2167"/>
          <w:bookmarkEnd w:id="2167"/>
          <w:p>
            <w:pPr>
              <w:pStyle w:val="0"/>
              <w:jc w:val="center"/>
            </w:pPr>
            <w:r>
              <w:rPr>
                <w:sz w:val="20"/>
              </w:rPr>
              <w:t xml:space="preserve">30</w:t>
            </w:r>
          </w:p>
        </w:tc>
        <w:tc>
          <w:tcPr>
            <w:tcW w:w="1361" w:type="dxa"/>
            <w:tcBorders>
              <w:right w:val="nil"/>
            </w:tcBorders>
          </w:tcPr>
          <w:bookmarkStart w:id="2168" w:name="P2168"/>
          <w:bookmarkEnd w:id="2168"/>
          <w:p>
            <w:pPr>
              <w:pStyle w:val="0"/>
              <w:jc w:val="center"/>
            </w:pPr>
            <w:r>
              <w:rPr>
                <w:sz w:val="20"/>
              </w:rPr>
              <w:t xml:space="preserve">31</w:t>
            </w:r>
          </w:p>
        </w:tc>
      </w:tr>
      <w:tr>
        <w:tblPrEx>
          <w:tblBorders>
            <w:right w:val="single" w:sz="4"/>
          </w:tblBorders>
        </w:tblPrEx>
        <w:tc>
          <w:tcPr>
            <w:tcW w:w="811" w:type="dxa"/>
          </w:tcPr>
          <w:p>
            <w:pPr>
              <w:pStyle w:val="0"/>
              <w:jc w:val="center"/>
            </w:pPr>
            <w:r>
              <w:rPr>
                <w:sz w:val="20"/>
              </w:rPr>
              <w:t xml:space="preserve">0100</w:t>
            </w:r>
          </w:p>
        </w:tc>
        <w:tc>
          <w:tcPr>
            <w:tcW w:w="737" w:type="dxa"/>
            <w:vMerge w:val="restart"/>
          </w:tcPr>
          <w:p>
            <w:pPr>
              <w:pStyle w:val="0"/>
            </w:pPr>
            <w:r>
              <w:rPr>
                <w:sz w:val="20"/>
              </w:rPr>
            </w:r>
          </w:p>
        </w:tc>
        <w:tc>
          <w:tcPr>
            <w:tcW w:w="1361" w:type="dxa"/>
            <w:vMerge w:val="restart"/>
          </w:tcPr>
          <w:p>
            <w:pPr>
              <w:pStyle w:val="0"/>
            </w:pPr>
            <w:r>
              <w:rPr>
                <w:sz w:val="20"/>
              </w:rPr>
            </w:r>
          </w:p>
        </w:tc>
        <w:tc>
          <w:tcPr>
            <w:tcW w:w="763"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r>
      <w:tr>
        <w:tblPrEx>
          <w:tblBorders>
            <w:right w:val="single" w:sz="4"/>
          </w:tblBorders>
        </w:tblPrEx>
        <w:tc>
          <w:tcPr>
            <w:tcW w:w="811" w:type="dxa"/>
          </w:tcPr>
          <w:p>
            <w:pPr>
              <w:pStyle w:val="0"/>
              <w:jc w:val="center"/>
            </w:pPr>
            <w:r>
              <w:rPr>
                <w:sz w:val="20"/>
              </w:rPr>
              <w:t xml:space="preserve">0101</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right w:val="single" w:sz="4"/>
          </w:tblBorders>
        </w:tblPrEx>
        <w:tc>
          <w:tcPr>
            <w:tcW w:w="811" w:type="dxa"/>
          </w:tcPr>
          <w:p>
            <w:pPr>
              <w:pStyle w:val="0"/>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right w:val="single" w:sz="4"/>
          </w:tblBorders>
        </w:tblPrEx>
        <w:tc>
          <w:tcPr>
            <w:tcW w:w="811" w:type="dxa"/>
          </w:tcPr>
          <w:p>
            <w:pPr>
              <w:pStyle w:val="0"/>
              <w:jc w:val="center"/>
            </w:pPr>
            <w:r>
              <w:rPr>
                <w:sz w:val="20"/>
              </w:rPr>
              <w:t xml:space="preserve">0200</w:t>
            </w:r>
          </w:p>
        </w:tc>
        <w:tc>
          <w:tcPr>
            <w:tcW w:w="737" w:type="dxa"/>
            <w:vMerge w:val="restart"/>
          </w:tcPr>
          <w:p>
            <w:pPr>
              <w:pStyle w:val="0"/>
            </w:pPr>
            <w:r>
              <w:rPr>
                <w:sz w:val="20"/>
              </w:rPr>
            </w:r>
          </w:p>
        </w:tc>
        <w:tc>
          <w:tcPr>
            <w:tcW w:w="1361" w:type="dxa"/>
            <w:vMerge w:val="restart"/>
          </w:tcPr>
          <w:p>
            <w:pPr>
              <w:pStyle w:val="0"/>
            </w:pPr>
            <w:r>
              <w:rPr>
                <w:sz w:val="20"/>
              </w:rPr>
            </w:r>
          </w:p>
        </w:tc>
        <w:tc>
          <w:tcPr>
            <w:tcW w:w="763"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c>
          <w:tcPr>
            <w:tcW w:w="680" w:type="dxa"/>
            <w:vMerge w:val="restart"/>
          </w:tcPr>
          <w:p>
            <w:pPr>
              <w:pStyle w:val="0"/>
            </w:pPr>
            <w:r>
              <w:rPr>
                <w:sz w:val="20"/>
              </w:rPr>
            </w:r>
          </w:p>
        </w:tc>
        <w:tc>
          <w:tcPr>
            <w:tcW w:w="1361" w:type="dxa"/>
            <w:vMerge w:val="restart"/>
          </w:tcPr>
          <w:p>
            <w:pPr>
              <w:pStyle w:val="0"/>
            </w:pPr>
            <w:r>
              <w:rPr>
                <w:sz w:val="20"/>
              </w:rPr>
            </w:r>
          </w:p>
        </w:tc>
      </w:tr>
      <w:tr>
        <w:tblPrEx>
          <w:tblBorders>
            <w:right w:val="single" w:sz="4"/>
          </w:tblBorders>
        </w:tblPrEx>
        <w:tc>
          <w:tcPr>
            <w:tcW w:w="811" w:type="dxa"/>
          </w:tcPr>
          <w:p>
            <w:pPr>
              <w:pStyle w:val="0"/>
              <w:jc w:val="center"/>
            </w:pPr>
            <w:r>
              <w:rPr>
                <w:sz w:val="20"/>
              </w:rPr>
              <w:t xml:space="preserve">0201</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right w:val="single" w:sz="4"/>
          </w:tblBorders>
        </w:tblPrEx>
        <w:tc>
          <w:tcPr>
            <w:tcW w:w="811" w:type="dxa"/>
          </w:tcPr>
          <w:p>
            <w:pPr>
              <w:pStyle w:val="0"/>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bl>
    <w:p>
      <w:pPr>
        <w:sectPr>
          <w:headerReference w:type="default" r:id="rId45"/>
          <w:headerReference w:type="first" r:id="rId45"/>
          <w:footerReference w:type="default" r:id="rId46"/>
          <w:footerReference w:type="first" r:id="rId46"/>
          <w:pgSz w:w="16838" w:h="11906" w:orient="landscape"/>
          <w:pgMar w:top="1133" w:right="397" w:bottom="566" w:left="397" w:header="0" w:footer="0" w:gutter="0"/>
          <w:titlePg/>
        </w:sectPr>
      </w:pPr>
    </w:p>
    <w:p>
      <w:pPr>
        <w:pStyle w:val="0"/>
        <w:jc w:val="both"/>
      </w:pPr>
      <w:r>
        <w:rPr>
          <w:sz w:val="20"/>
        </w:rPr>
      </w:r>
    </w:p>
    <w:bookmarkStart w:id="2208" w:name="P2208"/>
    <w:bookmarkEnd w:id="2208"/>
    <w:p>
      <w:pPr>
        <w:pStyle w:val="1"/>
        <w:jc w:val="both"/>
      </w:pPr>
      <w:r>
        <w:rPr>
          <w:sz w:val="20"/>
        </w:rPr>
        <w:t xml:space="preserve">3. Утратил силу</w:t>
      </w:r>
    </w:p>
    <w:p>
      <w:pPr>
        <w:pStyle w:val="0"/>
        <w:jc w:val="both"/>
      </w:pPr>
      <w:r>
        <w:rPr>
          <w:sz w:val="20"/>
        </w:rPr>
      </w:r>
    </w:p>
    <w:bookmarkStart w:id="2210" w:name="P2210"/>
    <w:bookmarkEnd w:id="2210"/>
    <w:p>
      <w:pPr>
        <w:pStyle w:val="1"/>
        <w:jc w:val="both"/>
      </w:pPr>
      <w:r>
        <w:rPr>
          <w:sz w:val="20"/>
        </w:rPr>
        <w:t xml:space="preserve">      4. Сведения о принятии отчета о достижении значений результатов</w:t>
      </w:r>
    </w:p>
    <w:p>
      <w:pPr>
        <w:pStyle w:val="1"/>
        <w:jc w:val="both"/>
      </w:pPr>
      <w:r>
        <w:rPr>
          <w:sz w:val="20"/>
        </w:rPr>
        <w:t xml:space="preserve">            предоставления Иного межбюджетного трансферта </w:t>
      </w:r>
      <w:hyperlink w:history="0" w:anchor="P2277" w:tooltip="&lt;30&gt; Раздел 4 формируется Министерством, Агентством, Службой на 1 января года, следующего за отчетным годом (по окончании срока действия соглашения).">
        <w:r>
          <w:rPr>
            <w:sz w:val="20"/>
            <w:color w:val="0000ff"/>
          </w:rPr>
          <w:t xml:space="preserve">&lt;30&gt;</w:t>
        </w:r>
      </w:hyperlink>
    </w:p>
    <w:p>
      <w:pPr>
        <w:pStyle w:val="0"/>
        <w:jc w:val="both"/>
      </w:pPr>
      <w:r>
        <w:rPr>
          <w:sz w:val="20"/>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3344"/>
        <w:gridCol w:w="1417"/>
        <w:gridCol w:w="963"/>
        <w:gridCol w:w="1360"/>
        <w:gridCol w:w="1984"/>
      </w:tblGrid>
      <w:tr>
        <w:tblPrEx>
          <w:tblBorders>
            <w:right w:val="nil"/>
          </w:tblBorders>
        </w:tblPrEx>
        <w:tc>
          <w:tcPr>
            <w:tcW w:w="3344" w:type="dxa"/>
            <w:tcBorders>
              <w:left w:val="nil"/>
            </w:tcBorders>
            <w:vMerge w:val="restart"/>
          </w:tcPr>
          <w:p>
            <w:pPr>
              <w:pStyle w:val="0"/>
              <w:jc w:val="center"/>
            </w:pPr>
            <w:r>
              <w:rPr>
                <w:sz w:val="20"/>
              </w:rPr>
              <w:t xml:space="preserve">Наименование показателя</w:t>
            </w:r>
          </w:p>
        </w:tc>
        <w:tc>
          <w:tcPr>
            <w:tcW w:w="1417" w:type="dxa"/>
            <w:vMerge w:val="restart"/>
          </w:tcPr>
          <w:p>
            <w:pPr>
              <w:pStyle w:val="0"/>
              <w:jc w:val="center"/>
            </w:pPr>
            <w:r>
              <w:rPr>
                <w:sz w:val="20"/>
              </w:rPr>
              <w:t xml:space="preserve">Код по бюджетной классификации федерального бюджета</w:t>
            </w:r>
          </w:p>
        </w:tc>
        <w:tc>
          <w:tcPr>
            <w:tcW w:w="963" w:type="dxa"/>
            <w:vMerge w:val="restart"/>
          </w:tcPr>
          <w:p>
            <w:pPr>
              <w:pStyle w:val="0"/>
              <w:jc w:val="center"/>
            </w:pPr>
            <w:r>
              <w:rPr>
                <w:sz w:val="20"/>
              </w:rPr>
              <w:t xml:space="preserve">КОСГУ</w:t>
            </w:r>
          </w:p>
        </w:tc>
        <w:tc>
          <w:tcPr>
            <w:gridSpan w:val="2"/>
            <w:tcW w:w="3344" w:type="dxa"/>
            <w:tcBorders>
              <w:right w:val="nil"/>
            </w:tcBorders>
          </w:tcPr>
          <w:p>
            <w:pPr>
              <w:pStyle w:val="0"/>
              <w:jc w:val="center"/>
            </w:pPr>
            <w:r>
              <w:rPr>
                <w:sz w:val="20"/>
              </w:rPr>
              <w:t xml:space="preserve">Сумма, руб</w:t>
            </w:r>
          </w:p>
        </w:tc>
      </w:tr>
      <w:tr>
        <w:tblPrEx>
          <w:tblBorders>
            <w:right w:val="nil"/>
          </w:tblBorders>
        </w:tblPrEx>
        <w:tc>
          <w:tcPr>
            <w:tcBorders>
              <w:left w:val="nil"/>
            </w:tcBorders>
            <w:vMerge w:val="continue"/>
          </w:tcPr>
          <w:p/>
        </w:tc>
        <w:tc>
          <w:tcPr>
            <w:vMerge w:val="continue"/>
          </w:tcPr>
          <w:p/>
        </w:tc>
        <w:tc>
          <w:tcPr>
            <w:vMerge w:val="continue"/>
          </w:tcPr>
          <w:p/>
        </w:tc>
        <w:tc>
          <w:tcPr>
            <w:tcW w:w="1360" w:type="dxa"/>
          </w:tcPr>
          <w:p>
            <w:pPr>
              <w:pStyle w:val="0"/>
              <w:jc w:val="center"/>
            </w:pPr>
            <w:r>
              <w:rPr>
                <w:sz w:val="20"/>
              </w:rPr>
              <w:t xml:space="preserve">с начала заключения соглашения</w:t>
            </w:r>
          </w:p>
        </w:tc>
        <w:tc>
          <w:tcPr>
            <w:tcW w:w="1984" w:type="dxa"/>
            <w:tcBorders>
              <w:right w:val="nil"/>
            </w:tcBorders>
          </w:tcPr>
          <w:p>
            <w:pPr>
              <w:pStyle w:val="0"/>
              <w:jc w:val="center"/>
            </w:pPr>
            <w:r>
              <w:rPr>
                <w:sz w:val="20"/>
              </w:rPr>
              <w:t xml:space="preserve">из них с начала текущего финансового года </w:t>
            </w:r>
            <w:hyperlink w:history="0" w:anchor="P2278" w:tooltip="&lt;31&gt; Значение показателя формируется в соответствии с объемом денежных обязательств, отраженных в разделе 1, и не может превышать значение показателя графы 18 раздела 1.">
              <w:r>
                <w:rPr>
                  <w:sz w:val="20"/>
                  <w:color w:val="0000ff"/>
                </w:rPr>
                <w:t xml:space="preserve">&lt;31&gt;</w:t>
              </w:r>
            </w:hyperlink>
          </w:p>
        </w:tc>
      </w:tr>
      <w:tr>
        <w:tblPrEx>
          <w:tblBorders>
            <w:right w:val="nil"/>
          </w:tblBorders>
        </w:tblPrEx>
        <w:tc>
          <w:tcPr>
            <w:tcW w:w="3344" w:type="dxa"/>
            <w:tcBorders>
              <w:left w:val="nil"/>
            </w:tcBorders>
          </w:tcPr>
          <w:p>
            <w:pPr>
              <w:pStyle w:val="0"/>
              <w:jc w:val="center"/>
            </w:pPr>
            <w:r>
              <w:rPr>
                <w:sz w:val="20"/>
              </w:rPr>
              <w:t xml:space="preserve">1</w:t>
            </w:r>
          </w:p>
        </w:tc>
        <w:tc>
          <w:tcPr>
            <w:tcW w:w="1417" w:type="dxa"/>
          </w:tcPr>
          <w:p>
            <w:pPr>
              <w:pStyle w:val="0"/>
              <w:jc w:val="center"/>
            </w:pPr>
            <w:r>
              <w:rPr>
                <w:sz w:val="20"/>
              </w:rPr>
              <w:t xml:space="preserve">2</w:t>
            </w:r>
          </w:p>
        </w:tc>
        <w:tc>
          <w:tcPr>
            <w:tcW w:w="963" w:type="dxa"/>
          </w:tcPr>
          <w:p>
            <w:pPr>
              <w:pStyle w:val="0"/>
              <w:jc w:val="center"/>
            </w:pPr>
            <w:r>
              <w:rPr>
                <w:sz w:val="20"/>
              </w:rPr>
              <w:t xml:space="preserve">3</w:t>
            </w:r>
          </w:p>
        </w:tc>
        <w:tc>
          <w:tcPr>
            <w:tcW w:w="1360" w:type="dxa"/>
          </w:tcPr>
          <w:p>
            <w:pPr>
              <w:pStyle w:val="0"/>
              <w:jc w:val="center"/>
            </w:pPr>
            <w:r>
              <w:rPr>
                <w:sz w:val="20"/>
              </w:rPr>
              <w:t xml:space="preserve">4</w:t>
            </w:r>
          </w:p>
        </w:tc>
        <w:tc>
          <w:tcPr>
            <w:tcW w:w="1984" w:type="dxa"/>
            <w:tcBorders>
              <w:right w:val="nil"/>
            </w:tcBorders>
          </w:tcPr>
          <w:p>
            <w:pPr>
              <w:pStyle w:val="0"/>
              <w:jc w:val="center"/>
            </w:pPr>
            <w:r>
              <w:rPr>
                <w:sz w:val="20"/>
              </w:rPr>
              <w:t xml:space="preserve">5</w:t>
            </w:r>
          </w:p>
        </w:tc>
      </w:tr>
      <w:tr>
        <w:tc>
          <w:tcPr>
            <w:tcW w:w="3344" w:type="dxa"/>
            <w:tcBorders>
              <w:left w:val="nil"/>
            </w:tcBorders>
            <w:vMerge w:val="restart"/>
          </w:tcPr>
          <w:p>
            <w:pPr>
              <w:pStyle w:val="0"/>
              <w:jc w:val="center"/>
            </w:pPr>
            <w:r>
              <w:rPr>
                <w:sz w:val="20"/>
              </w:rPr>
              <w:t xml:space="preserve">Размер Иного межбюджетного трансферта, направленного на достижение результатов</w:t>
            </w:r>
          </w:p>
        </w:tc>
        <w:tc>
          <w:tcPr>
            <w:tcW w:w="1417" w:type="dxa"/>
          </w:tcPr>
          <w:p>
            <w:pPr>
              <w:pStyle w:val="0"/>
            </w:pPr>
            <w:r>
              <w:rPr>
                <w:sz w:val="20"/>
              </w:rPr>
            </w:r>
          </w:p>
        </w:tc>
        <w:tc>
          <w:tcPr>
            <w:tcW w:w="963" w:type="dxa"/>
            <w:vMerge w:val="restart"/>
          </w:tcPr>
          <w:p>
            <w:pPr>
              <w:pStyle w:val="0"/>
            </w:pPr>
            <w:r>
              <w:rPr>
                <w:sz w:val="20"/>
              </w:rPr>
            </w:r>
          </w:p>
        </w:tc>
        <w:tc>
          <w:tcPr>
            <w:tcW w:w="1360" w:type="dxa"/>
          </w:tcPr>
          <w:p>
            <w:pPr>
              <w:pStyle w:val="0"/>
            </w:pPr>
            <w:r>
              <w:rPr>
                <w:sz w:val="20"/>
              </w:rPr>
            </w:r>
          </w:p>
        </w:tc>
        <w:tc>
          <w:tcPr>
            <w:tcW w:w="1984" w:type="dxa"/>
          </w:tcPr>
          <w:p>
            <w:pPr>
              <w:pStyle w:val="0"/>
            </w:pPr>
            <w:r>
              <w:rPr>
                <w:sz w:val="20"/>
              </w:rPr>
            </w:r>
          </w:p>
        </w:tc>
      </w:tr>
      <w:tr>
        <w:tc>
          <w:tcPr>
            <w:tcBorders>
              <w:left w:val="nil"/>
            </w:tcBorders>
            <w:vMerge w:val="continue"/>
          </w:tcPr>
          <w:p/>
        </w:tc>
        <w:tc>
          <w:tcPr>
            <w:tcW w:w="1417" w:type="dxa"/>
          </w:tcPr>
          <w:p>
            <w:pPr>
              <w:pStyle w:val="0"/>
            </w:pPr>
            <w:r>
              <w:rPr>
                <w:sz w:val="20"/>
              </w:rPr>
            </w:r>
          </w:p>
        </w:tc>
        <w:tc>
          <w:tcPr>
            <w:vMerge w:val="continue"/>
          </w:tcPr>
          <w:p/>
        </w:tc>
        <w:tc>
          <w:tcPr>
            <w:tcW w:w="1360" w:type="dxa"/>
          </w:tcPr>
          <w:p>
            <w:pPr>
              <w:pStyle w:val="0"/>
            </w:pPr>
            <w:r>
              <w:rPr>
                <w:sz w:val="20"/>
              </w:rPr>
            </w:r>
          </w:p>
        </w:tc>
        <w:tc>
          <w:tcPr>
            <w:tcW w:w="1984" w:type="dxa"/>
          </w:tcPr>
          <w:p>
            <w:pPr>
              <w:pStyle w:val="0"/>
            </w:pPr>
            <w:r>
              <w:rPr>
                <w:sz w:val="20"/>
              </w:rPr>
            </w:r>
          </w:p>
        </w:tc>
      </w:tr>
      <w:tr>
        <w:tc>
          <w:tcPr>
            <w:tcW w:w="3344" w:type="dxa"/>
            <w:tcBorders>
              <w:left w:val="nil"/>
            </w:tcBorders>
            <w:vMerge w:val="restart"/>
          </w:tcPr>
          <w:p>
            <w:pPr>
              <w:pStyle w:val="0"/>
              <w:jc w:val="center"/>
            </w:pPr>
            <w:r>
              <w:rPr>
                <w:sz w:val="20"/>
              </w:rPr>
              <w:t xml:space="preserve">Неиспользованный объем финансового обеспечения </w:t>
            </w:r>
            <w:hyperlink w:history="0" w:anchor="P2279" w:tooltip="&lt;32&gt; Указывается сумма, на которую подлежит уменьшению размер Иного межбюджетного трансферта (гр. 20 раздела 1).&quot;.">
              <w:r>
                <w:rPr>
                  <w:sz w:val="20"/>
                  <w:color w:val="0000ff"/>
                </w:rPr>
                <w:t xml:space="preserve">&lt;32&gt;</w:t>
              </w:r>
            </w:hyperlink>
          </w:p>
        </w:tc>
        <w:tc>
          <w:tcPr>
            <w:tcW w:w="1417" w:type="dxa"/>
          </w:tcPr>
          <w:p>
            <w:pPr>
              <w:pStyle w:val="0"/>
            </w:pPr>
            <w:r>
              <w:rPr>
                <w:sz w:val="20"/>
              </w:rPr>
            </w:r>
          </w:p>
        </w:tc>
        <w:tc>
          <w:tcPr>
            <w:tcW w:w="963" w:type="dxa"/>
            <w:vMerge w:val="restart"/>
          </w:tcPr>
          <w:p>
            <w:pPr>
              <w:pStyle w:val="0"/>
            </w:pPr>
            <w:r>
              <w:rPr>
                <w:sz w:val="20"/>
              </w:rPr>
            </w:r>
          </w:p>
        </w:tc>
        <w:tc>
          <w:tcPr>
            <w:tcW w:w="1360" w:type="dxa"/>
          </w:tcPr>
          <w:p>
            <w:pPr>
              <w:pStyle w:val="0"/>
            </w:pPr>
            <w:r>
              <w:rPr>
                <w:sz w:val="20"/>
              </w:rPr>
            </w:r>
          </w:p>
        </w:tc>
        <w:tc>
          <w:tcPr>
            <w:tcW w:w="1984" w:type="dxa"/>
          </w:tcPr>
          <w:p>
            <w:pPr>
              <w:pStyle w:val="0"/>
            </w:pPr>
            <w:r>
              <w:rPr>
                <w:sz w:val="20"/>
              </w:rPr>
            </w:r>
          </w:p>
        </w:tc>
      </w:tr>
      <w:tr>
        <w:tc>
          <w:tcPr>
            <w:tcBorders>
              <w:left w:val="nil"/>
            </w:tcBorders>
            <w:vMerge w:val="continue"/>
          </w:tcPr>
          <w:p/>
        </w:tc>
        <w:tc>
          <w:tcPr>
            <w:tcW w:w="1417" w:type="dxa"/>
          </w:tcPr>
          <w:p>
            <w:pPr>
              <w:pStyle w:val="0"/>
            </w:pPr>
            <w:r>
              <w:rPr>
                <w:sz w:val="20"/>
              </w:rPr>
            </w:r>
          </w:p>
        </w:tc>
        <w:tc>
          <w:tcPr>
            <w:vMerge w:val="continue"/>
          </w:tcPr>
          <w:p/>
        </w:tc>
        <w:tc>
          <w:tcPr>
            <w:tcW w:w="1360" w:type="dxa"/>
          </w:tcPr>
          <w:p>
            <w:pPr>
              <w:pStyle w:val="0"/>
            </w:pPr>
            <w:r>
              <w:rPr>
                <w:sz w:val="20"/>
              </w:rPr>
            </w:r>
          </w:p>
        </w:tc>
        <w:tc>
          <w:tcPr>
            <w:tcW w:w="1984" w:type="dxa"/>
          </w:tcPr>
          <w:p>
            <w:pPr>
              <w:pStyle w:val="0"/>
            </w:pPr>
            <w:r>
              <w:rPr>
                <w:sz w:val="20"/>
              </w:rPr>
            </w:r>
          </w:p>
        </w:tc>
      </w:tr>
    </w:tbl>
    <w:p>
      <w:pPr>
        <w:pStyle w:val="0"/>
        <w:jc w:val="both"/>
      </w:pPr>
      <w:r>
        <w:rPr>
          <w:sz w:val="20"/>
        </w:rPr>
      </w:r>
    </w:p>
    <w:p>
      <w:pPr>
        <w:pStyle w:val="1"/>
        <w:jc w:val="both"/>
      </w:pPr>
      <w:r>
        <w:rPr>
          <w:sz w:val="20"/>
        </w:rPr>
        <w:t xml:space="preserve">Руководитель</w:t>
      </w:r>
    </w:p>
    <w:p>
      <w:pPr>
        <w:pStyle w:val="1"/>
        <w:jc w:val="both"/>
      </w:pPr>
      <w:r>
        <w:rPr>
          <w:sz w:val="20"/>
        </w:rPr>
        <w:t xml:space="preserve">(уполномоченное лицо) __________________ ___________ _________ ____________</w:t>
      </w:r>
    </w:p>
    <w:p>
      <w:pPr>
        <w:pStyle w:val="1"/>
        <w:jc w:val="both"/>
      </w:pPr>
      <w:r>
        <w:rPr>
          <w:sz w:val="20"/>
        </w:rPr>
        <w:t xml:space="preserve">                        (Министерство,   (должность) (подпись) (расшифровка</w:t>
      </w:r>
    </w:p>
    <w:p>
      <w:pPr>
        <w:pStyle w:val="1"/>
        <w:jc w:val="both"/>
      </w:pPr>
      <w:r>
        <w:rPr>
          <w:sz w:val="20"/>
        </w:rPr>
        <w:t xml:space="preserve">                      Агентство, Служба)                         подписи)</w:t>
      </w:r>
    </w:p>
    <w:p>
      <w:pPr>
        <w:pStyle w:val="1"/>
        <w:jc w:val="both"/>
      </w:pPr>
      <w:r>
        <w:rPr>
          <w:sz w:val="20"/>
        </w:rPr>
      </w:r>
    </w:p>
    <w:p>
      <w:pPr>
        <w:pStyle w:val="1"/>
        <w:jc w:val="both"/>
      </w:pPr>
      <w:r>
        <w:rPr>
          <w:sz w:val="20"/>
        </w:rPr>
        <w:t xml:space="preserve">Исполнитель           __________________ ___________________   ____________</w:t>
      </w:r>
    </w:p>
    <w:p>
      <w:pPr>
        <w:pStyle w:val="1"/>
        <w:jc w:val="both"/>
      </w:pPr>
      <w:r>
        <w:rPr>
          <w:sz w:val="20"/>
        </w:rPr>
        <w:t xml:space="preserve">                         (должность)     (фамилия, инициалы)     (телефон)</w:t>
      </w:r>
    </w:p>
    <w:p>
      <w:pPr>
        <w:pStyle w:val="1"/>
        <w:jc w:val="both"/>
      </w:pPr>
      <w:r>
        <w:rPr>
          <w:sz w:val="20"/>
        </w:rPr>
      </w:r>
    </w:p>
    <w:p>
      <w:pPr>
        <w:pStyle w:val="1"/>
        <w:jc w:val="both"/>
      </w:pPr>
      <w:r>
        <w:rPr>
          <w:sz w:val="20"/>
        </w:rPr>
        <w:t xml:space="preserve">"__" __________ 20__ г.</w:t>
      </w:r>
    </w:p>
    <w:p>
      <w:pPr>
        <w:pStyle w:val="0"/>
        <w:jc w:val="both"/>
      </w:pPr>
      <w:r>
        <w:rPr>
          <w:sz w:val="20"/>
        </w:rPr>
      </w:r>
    </w:p>
    <w:p>
      <w:pPr>
        <w:pStyle w:val="0"/>
        <w:ind w:firstLine="540"/>
        <w:jc w:val="both"/>
      </w:pPr>
      <w:r>
        <w:rPr>
          <w:sz w:val="20"/>
        </w:rPr>
        <w:t xml:space="preserve">--------------------------------</w:t>
      </w:r>
    </w:p>
    <w:bookmarkStart w:id="2252" w:name="P2252"/>
    <w:bookmarkEnd w:id="2252"/>
    <w:p>
      <w:pPr>
        <w:pStyle w:val="0"/>
        <w:spacing w:before="200" w:lineRule="auto"/>
        <w:ind w:firstLine="540"/>
        <w:jc w:val="both"/>
      </w:pPr>
      <w:r>
        <w:rPr>
          <w:sz w:val="20"/>
        </w:rPr>
        <w:t xml:space="preserve">&lt;1&gt; Указывается орган исполнительной власти субъекта Российской Федерации, определенный в </w:t>
      </w:r>
      <w:hyperlink w:history="0" w:anchor="P424" w:tooltip="    6.1.1.    Уполномоченным   органом  исполнительной    власти  Субъекта,">
        <w:r>
          <w:rPr>
            <w:sz w:val="20"/>
            <w:color w:val="0000ff"/>
          </w:rPr>
          <w:t xml:space="preserve">пункте 6.1.1</w:t>
        </w:r>
      </w:hyperlink>
      <w:r>
        <w:rPr>
          <w:sz w:val="20"/>
        </w:rPr>
        <w:t xml:space="preserve"> соглашения.</w:t>
      </w:r>
    </w:p>
    <w:bookmarkStart w:id="2253" w:name="P2253"/>
    <w:bookmarkEnd w:id="2253"/>
    <w:p>
      <w:pPr>
        <w:pStyle w:val="0"/>
        <w:spacing w:before="200" w:lineRule="auto"/>
        <w:ind w:firstLine="540"/>
        <w:jc w:val="both"/>
      </w:pPr>
      <w:r>
        <w:rPr>
          <w:sz w:val="20"/>
        </w:rPr>
        <w:t xml:space="preserve">&lt;2&gt; Указывается наименование федерального проекта. В кодовой </w:t>
      </w:r>
      <w:hyperlink w:history="0" w:anchor="P1532" w:tooltip="по БК &lt;2&gt;">
        <w:r>
          <w:rPr>
            <w:sz w:val="20"/>
            <w:color w:val="0000ff"/>
          </w:rPr>
          <w:t xml:space="preserve">зоне</w:t>
        </w:r>
      </w:hyperlink>
      <w:r>
        <w:rPr>
          <w:sz w:val="20"/>
        </w:rPr>
        <w:t xml:space="preserve"> указываются 1 - 5 разряды кода целевой статьи расходов федерального бюджета.</w:t>
      </w:r>
    </w:p>
    <w:bookmarkStart w:id="2254" w:name="P2254"/>
    <w:bookmarkEnd w:id="2254"/>
    <w:p>
      <w:pPr>
        <w:pStyle w:val="0"/>
        <w:spacing w:before="200" w:lineRule="auto"/>
        <w:ind w:firstLine="540"/>
        <w:jc w:val="both"/>
      </w:pPr>
      <w:r>
        <w:rPr>
          <w:sz w:val="20"/>
        </w:rPr>
        <w:t xml:space="preserve">&lt;2.1&gt; Указывается наименование регионального проекта в случае предоставления Иного межбюджетного трансферта в целях софинансирования расходных обязательств субъекта Российской Федерации, возникающих при реализации регионального проекта, обеспечивающего достижение целей, показателей и мероприятий (результатов) федерального проекта, входящего в состав соответствующего национального проекта. В кодовой </w:t>
      </w:r>
      <w:hyperlink w:history="0" w:anchor="P1536" w:tooltip="по БК &lt;2.1&gt;">
        <w:r>
          <w:rPr>
            <w:sz w:val="20"/>
            <w:color w:val="0000ff"/>
          </w:rPr>
          <w:t xml:space="preserve">зоне</w:t>
        </w:r>
      </w:hyperlink>
      <w:r>
        <w:rPr>
          <w:sz w:val="20"/>
        </w:rPr>
        <w:t xml:space="preserve"> указываются 4 и 5 разряды кодов целевых статей расходов бюджета субъекта Российской Федерации.</w:t>
      </w:r>
    </w:p>
    <w:bookmarkStart w:id="2255" w:name="P2255"/>
    <w:bookmarkEnd w:id="2255"/>
    <w:p>
      <w:pPr>
        <w:pStyle w:val="0"/>
        <w:spacing w:before="200" w:lineRule="auto"/>
        <w:ind w:firstLine="540"/>
        <w:jc w:val="both"/>
      </w:pPr>
      <w:r>
        <w:rPr>
          <w:sz w:val="20"/>
        </w:rPr>
        <w:t xml:space="preserve">&lt;3&gt; При представлении уточненного отчета указывается номер корректировки (например, "1", "2", "3", "...").</w:t>
      </w:r>
    </w:p>
    <w:bookmarkStart w:id="2256" w:name="P2256"/>
    <w:bookmarkEnd w:id="2256"/>
    <w:p>
      <w:pPr>
        <w:pStyle w:val="0"/>
        <w:spacing w:before="200" w:lineRule="auto"/>
        <w:ind w:firstLine="540"/>
        <w:jc w:val="both"/>
      </w:pPr>
      <w:r>
        <w:rPr>
          <w:sz w:val="20"/>
        </w:rPr>
        <w:t xml:space="preserve">&lt;4&gt; Показатели </w:t>
      </w:r>
      <w:hyperlink w:history="0" w:anchor="P1587" w:tooltip="1">
        <w:r>
          <w:rPr>
            <w:sz w:val="20"/>
            <w:color w:val="0000ff"/>
          </w:rPr>
          <w:t xml:space="preserve">граф 1</w:t>
        </w:r>
      </w:hyperlink>
      <w:r>
        <w:rPr>
          <w:sz w:val="20"/>
        </w:rPr>
        <w:t xml:space="preserve"> - </w:t>
      </w:r>
      <w:hyperlink w:history="0" w:anchor="P1591" w:tooltip="5">
        <w:r>
          <w:rPr>
            <w:sz w:val="20"/>
            <w:color w:val="0000ff"/>
          </w:rPr>
          <w:t xml:space="preserve">5 раздела 1</w:t>
        </w:r>
      </w:hyperlink>
      <w:r>
        <w:rPr>
          <w:sz w:val="20"/>
        </w:rPr>
        <w:t xml:space="preserve"> и </w:t>
      </w:r>
      <w:hyperlink w:history="0" w:anchor="P2208" w:tooltip="3. Утратил силу">
        <w:r>
          <w:rPr>
            <w:sz w:val="20"/>
            <w:color w:val="0000ff"/>
          </w:rPr>
          <w:t xml:space="preserve">граф 1</w:t>
        </w:r>
      </w:hyperlink>
      <w:r>
        <w:rPr>
          <w:sz w:val="20"/>
        </w:rPr>
        <w:t xml:space="preserve"> - </w:t>
      </w:r>
      <w:hyperlink w:history="0" w:anchor="P2208" w:tooltip="3. Утратил силу">
        <w:r>
          <w:rPr>
            <w:sz w:val="20"/>
            <w:color w:val="0000ff"/>
          </w:rPr>
          <w:t xml:space="preserve">3 раздела 3</w:t>
        </w:r>
      </w:hyperlink>
      <w:r>
        <w:rPr>
          <w:sz w:val="20"/>
        </w:rPr>
        <w:t xml:space="preserve"> соответственно формируются на основании показателей </w:t>
      </w:r>
      <w:hyperlink w:history="0" w:anchor="P1022" w:tooltip="1">
        <w:r>
          <w:rPr>
            <w:sz w:val="20"/>
            <w:color w:val="0000ff"/>
          </w:rPr>
          <w:t xml:space="preserve">граф 1</w:t>
        </w:r>
      </w:hyperlink>
      <w:r>
        <w:rPr>
          <w:sz w:val="20"/>
        </w:rPr>
        <w:t xml:space="preserve"> - </w:t>
      </w:r>
      <w:hyperlink w:history="0" w:anchor="P1026" w:tooltip="5">
        <w:r>
          <w:rPr>
            <w:sz w:val="20"/>
            <w:color w:val="0000ff"/>
          </w:rPr>
          <w:t xml:space="preserve">5</w:t>
        </w:r>
      </w:hyperlink>
      <w:r>
        <w:rPr>
          <w:sz w:val="20"/>
        </w:rPr>
        <w:t xml:space="preserve"> и </w:t>
      </w:r>
      <w:hyperlink w:history="0" w:anchor="P2208" w:tooltip="3. Утратил силу">
        <w:r>
          <w:rPr>
            <w:sz w:val="20"/>
            <w:color w:val="0000ff"/>
          </w:rPr>
          <w:t xml:space="preserve">1</w:t>
        </w:r>
      </w:hyperlink>
      <w:r>
        <w:rPr>
          <w:sz w:val="20"/>
        </w:rPr>
        <w:t xml:space="preserve"> - </w:t>
      </w:r>
      <w:hyperlink w:history="0" w:anchor="P2208" w:tooltip="3. Утратил силу">
        <w:r>
          <w:rPr>
            <w:sz w:val="20"/>
            <w:color w:val="0000ff"/>
          </w:rPr>
          <w:t xml:space="preserve">3</w:t>
        </w:r>
      </w:hyperlink>
      <w:r>
        <w:rPr>
          <w:sz w:val="20"/>
        </w:rPr>
        <w:t xml:space="preserve"> соответственно приложения к соглашению, оформленного в соответствии с приложением N 2 к настоящей Типовой форме соглашения. Также в </w:t>
      </w:r>
      <w:hyperlink w:history="0" w:anchor="P1589" w:tooltip="3">
        <w:r>
          <w:rPr>
            <w:sz w:val="20"/>
            <w:color w:val="0000ff"/>
          </w:rPr>
          <w:t xml:space="preserve">графах 3</w:t>
        </w:r>
      </w:hyperlink>
      <w:r>
        <w:rPr>
          <w:sz w:val="20"/>
        </w:rPr>
        <w:t xml:space="preserve"> - </w:t>
      </w:r>
      <w:hyperlink w:history="0" w:anchor="P1591" w:tooltip="5">
        <w:r>
          <w:rPr>
            <w:sz w:val="20"/>
            <w:color w:val="0000ff"/>
          </w:rPr>
          <w:t xml:space="preserve">5 раздела 1</w:t>
        </w:r>
      </w:hyperlink>
      <w:r>
        <w:rPr>
          <w:sz w:val="20"/>
        </w:rPr>
        <w:t xml:space="preserve"> указываются наименования материальных и нематериальных объектов и (или) услуг, планируемых к получению в рамках достижения результата и соответствующие наименования единиц измерения и коды по </w:t>
      </w:r>
      <w:hyperlink w:history="0" r:id="rId7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(при наличии в Правилах предоставления иного межбюджетного трансферта положений о данных объектах и (или) услугах).</w:t>
      </w:r>
    </w:p>
    <w:bookmarkStart w:id="2257" w:name="P2257"/>
    <w:bookmarkEnd w:id="2257"/>
    <w:p>
      <w:pPr>
        <w:pStyle w:val="0"/>
        <w:spacing w:before="200" w:lineRule="auto"/>
        <w:ind w:firstLine="540"/>
        <w:jc w:val="both"/>
      </w:pPr>
      <w:r>
        <w:rPr>
          <w:sz w:val="20"/>
        </w:rPr>
        <w:t xml:space="preserve">&lt;4.1&gt; Указывается соответствующий результату предоставления Иного межбюджетного трансферта код мероприятия (результата) федерального проекта, автоматически сформированный в системе "Электронный бюджет".</w:t>
      </w:r>
    </w:p>
    <w:bookmarkStart w:id="2258" w:name="P2258"/>
    <w:bookmarkEnd w:id="2258"/>
    <w:p>
      <w:pPr>
        <w:pStyle w:val="0"/>
        <w:spacing w:before="200" w:lineRule="auto"/>
        <w:ind w:firstLine="540"/>
        <w:jc w:val="both"/>
      </w:pPr>
      <w:r>
        <w:rPr>
          <w:sz w:val="20"/>
        </w:rPr>
        <w:t xml:space="preserve">&lt;5&gt; Указываются в соответствии с плановыми значениями, установленными в приложении к соглашению, оформленном в соответствии с </w:t>
      </w:r>
      <w:hyperlink w:history="0" w:anchor="P962" w:tooltip="    Значения результатов предоставления Иного межбюджетного трансферта">
        <w:r>
          <w:rPr>
            <w:sz w:val="20"/>
            <w:color w:val="0000ff"/>
          </w:rPr>
          <w:t xml:space="preserve">приложением N 2</w:t>
        </w:r>
      </w:hyperlink>
      <w:r>
        <w:rPr>
          <w:sz w:val="20"/>
        </w:rPr>
        <w:t xml:space="preserve"> к настоящей Типовой форме соглашения, на соответствующую дату.</w:t>
      </w:r>
    </w:p>
    <w:bookmarkStart w:id="2259" w:name="P2259"/>
    <w:bookmarkEnd w:id="2259"/>
    <w:p>
      <w:pPr>
        <w:pStyle w:val="0"/>
        <w:spacing w:before="200" w:lineRule="auto"/>
        <w:ind w:firstLine="540"/>
        <w:jc w:val="both"/>
      </w:pPr>
      <w:r>
        <w:rPr>
          <w:sz w:val="20"/>
        </w:rPr>
        <w:t xml:space="preserve">&lt;6&gt; Показатели </w:t>
      </w:r>
      <w:hyperlink w:history="0" w:anchor="P1596" w:tooltip="9">
        <w:r>
          <w:rPr>
            <w:sz w:val="20"/>
            <w:color w:val="0000ff"/>
          </w:rPr>
          <w:t xml:space="preserve">граф 9</w:t>
        </w:r>
      </w:hyperlink>
      <w:r>
        <w:rPr>
          <w:sz w:val="20"/>
        </w:rPr>
        <w:t xml:space="preserve"> и </w:t>
      </w:r>
      <w:hyperlink w:history="0" w:anchor="P1597" w:tooltip="10">
        <w:r>
          <w:rPr>
            <w:sz w:val="20"/>
            <w:color w:val="0000ff"/>
          </w:rPr>
          <w:t xml:space="preserve">10 раздела 1</w:t>
        </w:r>
      </w:hyperlink>
      <w:r>
        <w:rPr>
          <w:sz w:val="20"/>
        </w:rPr>
        <w:t xml:space="preserve"> формируются на основании значений, установленных в </w:t>
      </w:r>
      <w:hyperlink w:history="0" w:anchor="P589" w:tooltip="                                Информация">
        <w:r>
          <w:rPr>
            <w:sz w:val="20"/>
            <w:color w:val="0000ff"/>
          </w:rPr>
          <w:t xml:space="preserve">приложении N 1</w:t>
        </w:r>
      </w:hyperlink>
      <w:r>
        <w:rPr>
          <w:sz w:val="20"/>
        </w:rPr>
        <w:t xml:space="preserve"> к соглашению.</w:t>
      </w:r>
    </w:p>
    <w:bookmarkStart w:id="2260" w:name="P2260"/>
    <w:bookmarkEnd w:id="2260"/>
    <w:p>
      <w:pPr>
        <w:pStyle w:val="0"/>
        <w:spacing w:before="200" w:lineRule="auto"/>
        <w:ind w:firstLine="540"/>
        <w:jc w:val="both"/>
      </w:pPr>
      <w:r>
        <w:rPr>
          <w:sz w:val="20"/>
        </w:rPr>
        <w:t xml:space="preserve">&lt;7&gt; Показатели формируются на основании показателей </w:t>
      </w:r>
      <w:hyperlink w:history="0" w:anchor="P1818" w:tooltip="9">
        <w:r>
          <w:rPr>
            <w:sz w:val="20"/>
            <w:color w:val="0000ff"/>
          </w:rPr>
          <w:t xml:space="preserve">граф 9</w:t>
        </w:r>
      </w:hyperlink>
      <w:r>
        <w:rPr>
          <w:sz w:val="20"/>
        </w:rPr>
        <w:t xml:space="preserve"> - </w:t>
      </w:r>
      <w:hyperlink w:history="0" w:anchor="P1821" w:tooltip="12">
        <w:r>
          <w:rPr>
            <w:sz w:val="20"/>
            <w:color w:val="0000ff"/>
          </w:rPr>
          <w:t xml:space="preserve">12 раздела 2.1</w:t>
        </w:r>
      </w:hyperlink>
      <w:r>
        <w:rPr>
          <w:sz w:val="20"/>
        </w:rPr>
        <w:t xml:space="preserve">.</w:t>
      </w:r>
    </w:p>
    <w:bookmarkStart w:id="2261" w:name="P2261"/>
    <w:bookmarkEnd w:id="2261"/>
    <w:p>
      <w:pPr>
        <w:pStyle w:val="0"/>
        <w:spacing w:before="200" w:lineRule="auto"/>
        <w:ind w:firstLine="540"/>
        <w:jc w:val="both"/>
      </w:pPr>
      <w:r>
        <w:rPr>
          <w:sz w:val="20"/>
        </w:rPr>
        <w:t xml:space="preserve">&lt;8&gt; Указывается объем обязательств, принятых в целях достижения значений результата предоставления Иного межбюджетного трансферта, отраженных в </w:t>
      </w:r>
      <w:hyperlink w:history="0" w:anchor="P1599" w:tooltip="12">
        <w:r>
          <w:rPr>
            <w:sz w:val="20"/>
            <w:color w:val="0000ff"/>
          </w:rPr>
          <w:t xml:space="preserve">графе 12 раздела 1</w:t>
        </w:r>
      </w:hyperlink>
      <w:r>
        <w:rPr>
          <w:sz w:val="20"/>
        </w:rPr>
        <w:t xml:space="preserve">. Показатели </w:t>
      </w:r>
      <w:hyperlink w:history="0" w:anchor="P1602" w:tooltip="15">
        <w:r>
          <w:rPr>
            <w:sz w:val="20"/>
            <w:color w:val="0000ff"/>
          </w:rPr>
          <w:t xml:space="preserve">граф 15</w:t>
        </w:r>
      </w:hyperlink>
      <w:r>
        <w:rPr>
          <w:sz w:val="20"/>
        </w:rPr>
        <w:t xml:space="preserve"> и </w:t>
      </w:r>
      <w:hyperlink w:history="0" w:anchor="P1603" w:tooltip="16">
        <w:r>
          <w:rPr>
            <w:sz w:val="20"/>
            <w:color w:val="0000ff"/>
          </w:rPr>
          <w:t xml:space="preserve">16 раздела 1</w:t>
        </w:r>
      </w:hyperlink>
      <w:r>
        <w:rPr>
          <w:sz w:val="20"/>
        </w:rPr>
        <w:t xml:space="preserve"> соответственно формируются на основании показателей </w:t>
      </w:r>
      <w:hyperlink w:history="0" w:anchor="P1940" w:tooltip="16">
        <w:r>
          <w:rPr>
            <w:sz w:val="20"/>
            <w:color w:val="0000ff"/>
          </w:rPr>
          <w:t xml:space="preserve">граф 16</w:t>
        </w:r>
      </w:hyperlink>
      <w:r>
        <w:rPr>
          <w:sz w:val="20"/>
        </w:rPr>
        <w:t xml:space="preserve"> и </w:t>
      </w:r>
      <w:hyperlink w:history="0" w:anchor="P1941" w:tooltip="17">
        <w:r>
          <w:rPr>
            <w:sz w:val="20"/>
            <w:color w:val="0000ff"/>
          </w:rPr>
          <w:t xml:space="preserve">17 раздела 2.1</w:t>
        </w:r>
      </w:hyperlink>
      <w:r>
        <w:rPr>
          <w:sz w:val="20"/>
        </w:rPr>
        <w:t xml:space="preserve">.</w:t>
      </w:r>
    </w:p>
    <w:bookmarkStart w:id="2262" w:name="P2262"/>
    <w:bookmarkEnd w:id="2262"/>
    <w:p>
      <w:pPr>
        <w:pStyle w:val="0"/>
        <w:spacing w:before="200" w:lineRule="auto"/>
        <w:ind w:firstLine="540"/>
        <w:jc w:val="both"/>
      </w:pPr>
      <w:r>
        <w:rPr>
          <w:sz w:val="20"/>
        </w:rPr>
        <w:t xml:space="preserve">&lt;9&gt; Указывается объем денежных обязательств (за исключением авансов), принятых в целях достижения значений результата предоставления Иного межбюджетного трансферта, отраженных в </w:t>
      </w:r>
      <w:hyperlink w:history="0" w:anchor="P1599" w:tooltip="12">
        <w:r>
          <w:rPr>
            <w:sz w:val="20"/>
            <w:color w:val="0000ff"/>
          </w:rPr>
          <w:t xml:space="preserve">графе 12 раздела 1</w:t>
        </w:r>
      </w:hyperlink>
      <w:r>
        <w:rPr>
          <w:sz w:val="20"/>
        </w:rPr>
        <w:t xml:space="preserve">. Показатели </w:t>
      </w:r>
      <w:hyperlink w:history="0" w:anchor="P1604" w:tooltip="17">
        <w:r>
          <w:rPr>
            <w:sz w:val="20"/>
            <w:color w:val="0000ff"/>
          </w:rPr>
          <w:t xml:space="preserve">граф 17</w:t>
        </w:r>
      </w:hyperlink>
      <w:r>
        <w:rPr>
          <w:sz w:val="20"/>
        </w:rPr>
        <w:t xml:space="preserve"> и </w:t>
      </w:r>
      <w:hyperlink w:history="0" w:anchor="P1605" w:tooltip="18">
        <w:r>
          <w:rPr>
            <w:sz w:val="20"/>
            <w:color w:val="0000ff"/>
          </w:rPr>
          <w:t xml:space="preserve">18 раздела 1</w:t>
        </w:r>
      </w:hyperlink>
      <w:r>
        <w:rPr>
          <w:sz w:val="20"/>
        </w:rPr>
        <w:t xml:space="preserve"> формируются на основании на показателей </w:t>
      </w:r>
      <w:hyperlink w:history="0" w:anchor="P1942" w:tooltip="18">
        <w:r>
          <w:rPr>
            <w:sz w:val="20"/>
            <w:color w:val="0000ff"/>
          </w:rPr>
          <w:t xml:space="preserve">граф 18</w:t>
        </w:r>
      </w:hyperlink>
      <w:r>
        <w:rPr>
          <w:sz w:val="20"/>
        </w:rPr>
        <w:t xml:space="preserve"> и </w:t>
      </w:r>
      <w:hyperlink w:history="0" w:anchor="P1943" w:tooltip="19">
        <w:r>
          <w:rPr>
            <w:sz w:val="20"/>
            <w:color w:val="0000ff"/>
          </w:rPr>
          <w:t xml:space="preserve">19 раздела 2.1</w:t>
        </w:r>
      </w:hyperlink>
      <w:r>
        <w:rPr>
          <w:sz w:val="20"/>
        </w:rPr>
        <w:t xml:space="preserve"> соответственно.</w:t>
      </w:r>
    </w:p>
    <w:bookmarkStart w:id="2263" w:name="P2263"/>
    <w:bookmarkEnd w:id="2263"/>
    <w:p>
      <w:pPr>
        <w:pStyle w:val="0"/>
        <w:spacing w:before="200" w:lineRule="auto"/>
        <w:ind w:firstLine="540"/>
        <w:jc w:val="both"/>
      </w:pPr>
      <w:r>
        <w:rPr>
          <w:sz w:val="20"/>
        </w:rPr>
        <w:t xml:space="preserve">&lt;10&gt; Показатель формируется на 1 января года, следующего за отчетным (по окончанию срока действия соглашения).</w:t>
      </w:r>
    </w:p>
    <w:bookmarkStart w:id="2264" w:name="P2264"/>
    <w:bookmarkEnd w:id="2264"/>
    <w:p>
      <w:pPr>
        <w:pStyle w:val="0"/>
        <w:spacing w:before="200" w:lineRule="auto"/>
        <w:ind w:firstLine="540"/>
        <w:jc w:val="both"/>
      </w:pPr>
      <w:r>
        <w:rPr>
          <w:sz w:val="20"/>
        </w:rPr>
        <w:t xml:space="preserve">&lt;11&gt; Показатели граф 1 - 5 </w:t>
      </w:r>
      <w:hyperlink w:history="0" w:anchor="P1781" w:tooltip="      2.1. Аналитическая информация о достижении значений результатов">
        <w:r>
          <w:rPr>
            <w:sz w:val="20"/>
            <w:color w:val="0000ff"/>
          </w:rPr>
          <w:t xml:space="preserve">разделов 2.1</w:t>
        </w:r>
      </w:hyperlink>
      <w:r>
        <w:rPr>
          <w:sz w:val="20"/>
        </w:rPr>
        <w:t xml:space="preserve">, </w:t>
      </w:r>
      <w:hyperlink w:history="0" w:anchor="P1995" w:tooltip="      2.2. Аналитическая информация о достижении значений результатов">
        <w:r>
          <w:rPr>
            <w:sz w:val="20"/>
            <w:color w:val="0000ff"/>
          </w:rPr>
          <w:t xml:space="preserve">2.2</w:t>
        </w:r>
      </w:hyperlink>
      <w:r>
        <w:rPr>
          <w:sz w:val="20"/>
        </w:rPr>
        <w:t xml:space="preserve"> и </w:t>
      </w:r>
      <w:hyperlink w:history="0" w:anchor="P1816" w:tooltip="7">
        <w:r>
          <w:rPr>
            <w:sz w:val="20"/>
            <w:color w:val="0000ff"/>
          </w:rPr>
          <w:t xml:space="preserve">граф 7</w:t>
        </w:r>
      </w:hyperlink>
      <w:r>
        <w:rPr>
          <w:sz w:val="20"/>
        </w:rPr>
        <w:t xml:space="preserve">, </w:t>
      </w:r>
      <w:hyperlink w:history="0" w:anchor="P1817" w:tooltip="8">
        <w:r>
          <w:rPr>
            <w:sz w:val="20"/>
            <w:color w:val="0000ff"/>
          </w:rPr>
          <w:t xml:space="preserve">8 раздела 2.1</w:t>
        </w:r>
      </w:hyperlink>
      <w:r>
        <w:rPr>
          <w:sz w:val="20"/>
        </w:rPr>
        <w:t xml:space="preserve"> соответственно формируются на основании показателей </w:t>
      </w:r>
      <w:hyperlink w:history="0" w:anchor="P1587" w:tooltip="1">
        <w:r>
          <w:rPr>
            <w:sz w:val="20"/>
            <w:color w:val="0000ff"/>
          </w:rPr>
          <w:t xml:space="preserve">граф 1</w:t>
        </w:r>
      </w:hyperlink>
      <w:r>
        <w:rPr>
          <w:sz w:val="20"/>
        </w:rPr>
        <w:t xml:space="preserve"> - </w:t>
      </w:r>
      <w:hyperlink w:history="0" w:anchor="P1591" w:tooltip="5">
        <w:r>
          <w:rPr>
            <w:sz w:val="20"/>
            <w:color w:val="0000ff"/>
          </w:rPr>
          <w:t xml:space="preserve">5</w:t>
        </w:r>
      </w:hyperlink>
      <w:r>
        <w:rPr>
          <w:sz w:val="20"/>
        </w:rPr>
        <w:t xml:space="preserve"> и </w:t>
      </w:r>
      <w:hyperlink w:history="0" w:anchor="P1594" w:tooltip="7">
        <w:r>
          <w:rPr>
            <w:sz w:val="20"/>
            <w:color w:val="0000ff"/>
          </w:rPr>
          <w:t xml:space="preserve">7</w:t>
        </w:r>
      </w:hyperlink>
      <w:r>
        <w:rPr>
          <w:sz w:val="20"/>
        </w:rPr>
        <w:t xml:space="preserve">, </w:t>
      </w:r>
      <w:hyperlink w:history="0" w:anchor="P1595" w:tooltip="8">
        <w:r>
          <w:rPr>
            <w:sz w:val="20"/>
            <w:color w:val="0000ff"/>
          </w:rPr>
          <w:t xml:space="preserve">8 раздела 1</w:t>
        </w:r>
      </w:hyperlink>
      <w:r>
        <w:rPr>
          <w:sz w:val="20"/>
        </w:rPr>
        <w:t xml:space="preserve">.</w:t>
      </w:r>
    </w:p>
    <w:bookmarkStart w:id="2265" w:name="P2265"/>
    <w:bookmarkEnd w:id="2265"/>
    <w:p>
      <w:pPr>
        <w:pStyle w:val="0"/>
        <w:spacing w:before="200" w:lineRule="auto"/>
        <w:ind w:firstLine="540"/>
        <w:jc w:val="both"/>
      </w:pPr>
      <w:r>
        <w:rPr>
          <w:sz w:val="20"/>
        </w:rPr>
        <w:t xml:space="preserve">&lt;12&gt; Указываются значения показателей, отраженных в </w:t>
      </w:r>
      <w:hyperlink w:history="0" w:anchor="P1811" w:tooltip="3">
        <w:r>
          <w:rPr>
            <w:sz w:val="20"/>
            <w:color w:val="0000ff"/>
          </w:rPr>
          <w:t xml:space="preserve">графе 3 раздела 2.1</w:t>
        </w:r>
      </w:hyperlink>
      <w:r>
        <w:rPr>
          <w:sz w:val="20"/>
        </w:rPr>
        <w:t xml:space="preserve">, достигнутые субъектом Российской Федерации на отчетную дату, нарастающим итогом (если иное не предусмотрено Правилами предоставления иных межбюджетных трансфертов) с даты заключения Соглашения и с начала текущего финансового года соответственно.</w:t>
      </w:r>
    </w:p>
    <w:bookmarkStart w:id="2266" w:name="P2266"/>
    <w:bookmarkEnd w:id="2266"/>
    <w:p>
      <w:pPr>
        <w:pStyle w:val="0"/>
        <w:spacing w:before="200" w:lineRule="auto"/>
        <w:ind w:firstLine="540"/>
        <w:jc w:val="both"/>
      </w:pPr>
      <w:r>
        <w:rPr>
          <w:sz w:val="20"/>
        </w:rPr>
        <w:t xml:space="preserve">&lt;13&gt; Перечень причин отклонений устанавливается финансовым органом.</w:t>
      </w:r>
    </w:p>
    <w:bookmarkStart w:id="2267" w:name="P2267"/>
    <w:bookmarkEnd w:id="2267"/>
    <w:p>
      <w:pPr>
        <w:pStyle w:val="0"/>
        <w:spacing w:before="200" w:lineRule="auto"/>
        <w:ind w:firstLine="540"/>
        <w:jc w:val="both"/>
      </w:pPr>
      <w:r>
        <w:rPr>
          <w:sz w:val="20"/>
        </w:rPr>
        <w:t xml:space="preserve">&lt;14&gt; Указывается уровень софинансирования с учетом которого осуществлены кассовые расходы федерального бюджета по предоставлению Иного межбюджетного трансферта за отчетный период. В случае, если кассовые расходы федерального бюджета по предоставлению Иного межбюджетного трансферта за отчетный период не осуществлены, показатель не заполняется.</w:t>
      </w:r>
    </w:p>
    <w:bookmarkStart w:id="2268" w:name="P2268"/>
    <w:bookmarkEnd w:id="2268"/>
    <w:p>
      <w:pPr>
        <w:pStyle w:val="0"/>
        <w:spacing w:before="200" w:lineRule="auto"/>
        <w:ind w:firstLine="540"/>
        <w:jc w:val="both"/>
      </w:pPr>
      <w:r>
        <w:rPr>
          <w:sz w:val="20"/>
        </w:rPr>
        <w:t xml:space="preserve">&lt;15&gt; Указывается объем бюджетных обязательств, принятых получателями средств бюджета субъекта Российской Федерации на отчетную дату в целях достижения значений результата предоставления Иного межбюджетного трансферта, без учета обязательств по предоставлению из бюджета субъекта Российской Федерации межбюджетных трансфертов местным бюджетам, бюджетных инвестиций юридическим лицам и субсидий юридическим лицам, индивидуальным предпринимателям, физическим лицам - производителям товаров, работ, услуг (далее - получатели субсидий (бюджетных инвестиций).</w:t>
      </w:r>
    </w:p>
    <w:bookmarkStart w:id="2269" w:name="P2269"/>
    <w:bookmarkEnd w:id="2269"/>
    <w:p>
      <w:pPr>
        <w:pStyle w:val="0"/>
        <w:spacing w:before="200" w:lineRule="auto"/>
        <w:ind w:firstLine="540"/>
        <w:jc w:val="both"/>
      </w:pPr>
      <w:r>
        <w:rPr>
          <w:sz w:val="20"/>
        </w:rPr>
        <w:t xml:space="preserve">&lt;16&gt; Указывается объем денежных обязательств (за исключением авансов), принятых получателями средств бюджета субъекта Российской Федерации на отчетную дату в целях достижения значений результата предоставления Иного межбюджетного трансферта, без учета обязательств по предоставлению из бюджета субъекта Российской Федерации межбюджетных трансфертов местным бюджетам и субсидий (бюджетных инвестиций) получателям субсидий (бюджетных инвестиций).</w:t>
      </w:r>
    </w:p>
    <w:bookmarkStart w:id="2270" w:name="P2270"/>
    <w:bookmarkEnd w:id="2270"/>
    <w:p>
      <w:pPr>
        <w:pStyle w:val="0"/>
        <w:spacing w:before="200" w:lineRule="auto"/>
        <w:ind w:firstLine="540"/>
        <w:jc w:val="both"/>
      </w:pPr>
      <w:r>
        <w:rPr>
          <w:sz w:val="20"/>
        </w:rPr>
        <w:t xml:space="preserve">&lt;17&gt; Указывается объем обязательств, принятых получателями субсидий (бюджетных инвестиций) на отчетную дату. Показатель формируется на основании представленных получателями субсидий (бюджетных инвестиций) отчетов о достижении значений результатов предоставления субсидии в соответствии с заключенными соглашениями (договорами).</w:t>
      </w:r>
    </w:p>
    <w:bookmarkStart w:id="2271" w:name="P2271"/>
    <w:bookmarkEnd w:id="2271"/>
    <w:p>
      <w:pPr>
        <w:pStyle w:val="0"/>
        <w:spacing w:before="200" w:lineRule="auto"/>
        <w:ind w:firstLine="540"/>
        <w:jc w:val="both"/>
      </w:pPr>
      <w:r>
        <w:rPr>
          <w:sz w:val="20"/>
        </w:rPr>
        <w:t xml:space="preserve">&lt;18&gt; Указывается объем денежных обязательств (за исключением авансов), принятых получателями субсидий (бюджетных инвестиций) на отчетную дату. Показатель формируется на основании представленных получателями субсидий (бюджетных инвестиций) отчетов о достижении значений результатов предоставления субсидий (бюджетных инвестиций) в соответствии с заключенными соглашениями (договорами).</w:t>
      </w:r>
    </w:p>
    <w:bookmarkStart w:id="2272" w:name="P2272"/>
    <w:bookmarkEnd w:id="2272"/>
    <w:p>
      <w:pPr>
        <w:pStyle w:val="0"/>
        <w:spacing w:before="200" w:lineRule="auto"/>
        <w:ind w:firstLine="540"/>
        <w:jc w:val="both"/>
      </w:pPr>
      <w:r>
        <w:rPr>
          <w:sz w:val="20"/>
        </w:rPr>
        <w:t xml:space="preserve">&lt;19&gt; В </w:t>
      </w:r>
      <w:hyperlink w:history="0" w:anchor="P1952" w:tooltip="28">
        <w:r>
          <w:rPr>
            <w:sz w:val="20"/>
            <w:color w:val="0000ff"/>
          </w:rPr>
          <w:t xml:space="preserve">графах 28</w:t>
        </w:r>
      </w:hyperlink>
      <w:r>
        <w:rPr>
          <w:sz w:val="20"/>
        </w:rPr>
        <w:t xml:space="preserve"> и </w:t>
      </w:r>
      <w:hyperlink w:history="0" w:anchor="P1954" w:tooltip="30">
        <w:r>
          <w:rPr>
            <w:sz w:val="20"/>
            <w:color w:val="0000ff"/>
          </w:rPr>
          <w:t xml:space="preserve">30 раздела 2.1</w:t>
        </w:r>
      </w:hyperlink>
      <w:r>
        <w:rPr>
          <w:sz w:val="20"/>
        </w:rPr>
        <w:t xml:space="preserve"> указываются соответственно показатели </w:t>
      </w:r>
      <w:hyperlink w:history="0" w:anchor="P2154" w:tooltip="17">
        <w:r>
          <w:rPr>
            <w:sz w:val="20"/>
            <w:color w:val="0000ff"/>
          </w:rPr>
          <w:t xml:space="preserve">граф 17</w:t>
        </w:r>
      </w:hyperlink>
      <w:r>
        <w:rPr>
          <w:sz w:val="20"/>
        </w:rPr>
        <w:t xml:space="preserve"> и </w:t>
      </w:r>
      <w:hyperlink w:history="0" w:anchor="P2156" w:tooltip="19">
        <w:r>
          <w:rPr>
            <w:sz w:val="20"/>
            <w:color w:val="0000ff"/>
          </w:rPr>
          <w:t xml:space="preserve">19 раздела 2.2</w:t>
        </w:r>
      </w:hyperlink>
      <w:r>
        <w:rPr>
          <w:sz w:val="20"/>
        </w:rPr>
        <w:t xml:space="preserve">.</w:t>
      </w:r>
    </w:p>
    <w:bookmarkStart w:id="2273" w:name="P2273"/>
    <w:bookmarkEnd w:id="2273"/>
    <w:p>
      <w:pPr>
        <w:pStyle w:val="0"/>
        <w:spacing w:before="200" w:lineRule="auto"/>
        <w:ind w:firstLine="540"/>
        <w:jc w:val="both"/>
      </w:pPr>
      <w:r>
        <w:rPr>
          <w:sz w:val="20"/>
        </w:rPr>
        <w:t xml:space="preserve">&lt;20&gt; </w:t>
      </w:r>
      <w:hyperlink w:history="0" w:anchor="P1995" w:tooltip="      2.2. Аналитическая информация о достижении значений результатов">
        <w:r>
          <w:rPr>
            <w:sz w:val="20"/>
            <w:color w:val="0000ff"/>
          </w:rPr>
          <w:t xml:space="preserve">Раздел 2.2</w:t>
        </w:r>
      </w:hyperlink>
      <w:r>
        <w:rPr>
          <w:sz w:val="20"/>
        </w:rPr>
        <w:t xml:space="preserve"> формируется субъектом Российской Федерации на основании консолидированной информации отчетов муниципальных образований о достижении значений результатов предоставления Иного межбюджетного трансферта. Отчеты муниципальных образований о достижении значений результатов предоставления Иного межбюджетного трансферта формируются в порядке, аналогичном порядку формирования показателей </w:t>
      </w:r>
      <w:hyperlink w:history="0" w:anchor="P1781" w:tooltip="      2.1. Аналитическая информация о достижении значений результатов">
        <w:r>
          <w:rPr>
            <w:sz w:val="20"/>
            <w:color w:val="0000ff"/>
          </w:rPr>
          <w:t xml:space="preserve">раздела 2.1</w:t>
        </w:r>
      </w:hyperlink>
      <w:r>
        <w:rPr>
          <w:sz w:val="20"/>
        </w:rPr>
        <w:t xml:space="preserve">.</w:t>
      </w:r>
    </w:p>
    <w:bookmarkStart w:id="2274" w:name="P2274"/>
    <w:bookmarkEnd w:id="2274"/>
    <w:p>
      <w:pPr>
        <w:pStyle w:val="0"/>
        <w:spacing w:before="200" w:lineRule="auto"/>
        <w:ind w:firstLine="540"/>
        <w:jc w:val="both"/>
      </w:pPr>
      <w:r>
        <w:rPr>
          <w:sz w:val="20"/>
        </w:rPr>
        <w:t xml:space="preserve">&lt;21&gt; Показатели в </w:t>
      </w:r>
      <w:hyperlink w:history="0" w:anchor="P2029" w:tooltip="7">
        <w:r>
          <w:rPr>
            <w:sz w:val="20"/>
            <w:color w:val="0000ff"/>
          </w:rPr>
          <w:t xml:space="preserve">графах 7</w:t>
        </w:r>
      </w:hyperlink>
      <w:r>
        <w:rPr>
          <w:sz w:val="20"/>
        </w:rPr>
        <w:t xml:space="preserve">, </w:t>
      </w:r>
      <w:hyperlink w:history="0" w:anchor="P2030" w:tooltip="8">
        <w:r>
          <w:rPr>
            <w:sz w:val="20"/>
            <w:color w:val="0000ff"/>
          </w:rPr>
          <w:t xml:space="preserve">8</w:t>
        </w:r>
      </w:hyperlink>
      <w:r>
        <w:rPr>
          <w:sz w:val="20"/>
        </w:rPr>
        <w:t xml:space="preserve"> и </w:t>
      </w:r>
      <w:hyperlink w:history="0" w:anchor="P2033" w:tooltip="11">
        <w:r>
          <w:rPr>
            <w:sz w:val="20"/>
            <w:color w:val="0000ff"/>
          </w:rPr>
          <w:t xml:space="preserve">11</w:t>
        </w:r>
      </w:hyperlink>
      <w:r>
        <w:rPr>
          <w:sz w:val="20"/>
        </w:rPr>
        <w:t xml:space="preserve"> - </w:t>
      </w:r>
      <w:hyperlink w:history="0" w:anchor="P2037" w:tooltip="15">
        <w:r>
          <w:rPr>
            <w:sz w:val="20"/>
            <w:color w:val="0000ff"/>
          </w:rPr>
          <w:t xml:space="preserve">15 раздела 2.2</w:t>
        </w:r>
      </w:hyperlink>
      <w:r>
        <w:rPr>
          <w:sz w:val="20"/>
        </w:rPr>
        <w:t xml:space="preserve"> консолидированной информации, формируемой субъектом Российской Федерации на основании отчетов муниципальных образований, не заполняются.</w:t>
      </w:r>
    </w:p>
    <w:bookmarkStart w:id="2275" w:name="P2275"/>
    <w:bookmarkEnd w:id="2275"/>
    <w:p>
      <w:pPr>
        <w:pStyle w:val="0"/>
        <w:spacing w:before="200" w:lineRule="auto"/>
        <w:ind w:firstLine="540"/>
        <w:jc w:val="both"/>
      </w:pPr>
      <w:r>
        <w:rPr>
          <w:sz w:val="20"/>
        </w:rPr>
        <w:t xml:space="preserve">&lt;22&gt; Заполняется в случае предоставления в соответствии с бюджетным законодательством Российской Федерации из бюджета муниципального района (городского округа с внутригородским делением) бюджетам городских, сельских поселений (внутригородских районов) межбюджетных трансфертов в целях достижения результатов предоставления Иного межбюджетного трансферта. Показатели формируются на основании сведений об общем объеме денежных обязательств городских, сельских поселений (внутригородских районов), принятых в целях достижения результатов предоставления Иного межбюджетного трансферта, сформированных в порядке, аналогичном порядку формирования сведений, предусмотренных </w:t>
      </w:r>
      <w:hyperlink w:history="0" w:anchor="P1995" w:tooltip="      2.2. Аналитическая информация о достижении значений результатов">
        <w:r>
          <w:rPr>
            <w:sz w:val="20"/>
            <w:color w:val="0000ff"/>
          </w:rPr>
          <w:t xml:space="preserve">разделом 2.2</w:t>
        </w:r>
      </w:hyperlink>
      <w:r>
        <w:rPr>
          <w:sz w:val="20"/>
        </w:rPr>
        <w:t xml:space="preserve">.</w:t>
      </w:r>
    </w:p>
    <w:p>
      <w:pPr>
        <w:pStyle w:val="0"/>
        <w:spacing w:before="200" w:lineRule="auto"/>
        <w:ind w:firstLine="540"/>
        <w:jc w:val="both"/>
      </w:pPr>
      <w:r>
        <w:rPr>
          <w:sz w:val="20"/>
        </w:rPr>
        <w:t xml:space="preserve">&lt;23&gt; - &lt;29&gt; Сноски исключены.</w:t>
      </w:r>
    </w:p>
    <w:bookmarkStart w:id="2277" w:name="P2277"/>
    <w:bookmarkEnd w:id="2277"/>
    <w:p>
      <w:pPr>
        <w:pStyle w:val="0"/>
        <w:spacing w:before="200" w:lineRule="auto"/>
        <w:ind w:firstLine="540"/>
        <w:jc w:val="both"/>
      </w:pPr>
      <w:r>
        <w:rPr>
          <w:sz w:val="20"/>
        </w:rPr>
        <w:t xml:space="preserve">&lt;30&gt; </w:t>
      </w:r>
      <w:hyperlink w:history="0" w:anchor="P2210" w:tooltip="      4. Сведения о принятии отчета о достижении значений результатов">
        <w:r>
          <w:rPr>
            <w:sz w:val="20"/>
            <w:color w:val="0000ff"/>
          </w:rPr>
          <w:t xml:space="preserve">Раздел 4</w:t>
        </w:r>
      </w:hyperlink>
      <w:r>
        <w:rPr>
          <w:sz w:val="20"/>
        </w:rPr>
        <w:t xml:space="preserve"> формируется Министерством, Агентством, Службой на 1 января года, следующего за отчетным годом (по окончании срока действия соглашения).</w:t>
      </w:r>
    </w:p>
    <w:bookmarkStart w:id="2278" w:name="P2278"/>
    <w:bookmarkEnd w:id="2278"/>
    <w:p>
      <w:pPr>
        <w:pStyle w:val="0"/>
        <w:spacing w:before="200" w:lineRule="auto"/>
        <w:ind w:firstLine="540"/>
        <w:jc w:val="both"/>
      </w:pPr>
      <w:r>
        <w:rPr>
          <w:sz w:val="20"/>
        </w:rPr>
        <w:t xml:space="preserve">&lt;31&gt; Значение показателя формируется в соответствии с объемом денежных обязательств, отраженных в </w:t>
      </w:r>
      <w:hyperlink w:history="0" w:anchor="P1551" w:tooltip="              1. Информация о достижении значений результатов">
        <w:r>
          <w:rPr>
            <w:sz w:val="20"/>
            <w:color w:val="0000ff"/>
          </w:rPr>
          <w:t xml:space="preserve">разделе 1</w:t>
        </w:r>
      </w:hyperlink>
      <w:r>
        <w:rPr>
          <w:sz w:val="20"/>
        </w:rPr>
        <w:t xml:space="preserve">, и не может превышать значение показателя </w:t>
      </w:r>
      <w:hyperlink w:history="0" w:anchor="P1605" w:tooltip="18">
        <w:r>
          <w:rPr>
            <w:sz w:val="20"/>
            <w:color w:val="0000ff"/>
          </w:rPr>
          <w:t xml:space="preserve">графы 18 раздела 1</w:t>
        </w:r>
      </w:hyperlink>
      <w:r>
        <w:rPr>
          <w:sz w:val="20"/>
        </w:rPr>
        <w:t xml:space="preserve">.</w:t>
      </w:r>
    </w:p>
    <w:bookmarkStart w:id="2279" w:name="P2279"/>
    <w:bookmarkEnd w:id="2279"/>
    <w:p>
      <w:pPr>
        <w:pStyle w:val="0"/>
        <w:spacing w:before="200" w:lineRule="auto"/>
        <w:ind w:firstLine="540"/>
        <w:jc w:val="both"/>
      </w:pPr>
      <w:r>
        <w:rPr>
          <w:sz w:val="20"/>
        </w:rPr>
        <w:t xml:space="preserve">&lt;32&gt; Указывается сумма, на которую подлежит уменьшению размер Иного межбюджетного трансферта </w:t>
      </w:r>
      <w:hyperlink w:history="0" w:anchor="P1607" w:tooltip="20">
        <w:r>
          <w:rPr>
            <w:sz w:val="20"/>
            <w:color w:val="0000ff"/>
          </w:rPr>
          <w:t xml:space="preserve">(гр. 20 раздела 1)</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Типовой форме соглашения</w:t>
      </w:r>
    </w:p>
    <w:p>
      <w:pPr>
        <w:pStyle w:val="0"/>
        <w:jc w:val="right"/>
      </w:pPr>
      <w:r>
        <w:rPr>
          <w:sz w:val="20"/>
        </w:rPr>
        <w:t xml:space="preserve">о предоставлении иного</w:t>
      </w:r>
    </w:p>
    <w:p>
      <w:pPr>
        <w:pStyle w:val="0"/>
        <w:jc w:val="right"/>
      </w:pPr>
      <w:r>
        <w:rPr>
          <w:sz w:val="20"/>
        </w:rPr>
        <w:t xml:space="preserve">межбюджетного трансферта,</w:t>
      </w:r>
    </w:p>
    <w:p>
      <w:pPr>
        <w:pStyle w:val="0"/>
        <w:jc w:val="right"/>
      </w:pPr>
      <w:r>
        <w:rPr>
          <w:sz w:val="20"/>
        </w:rPr>
        <w:t xml:space="preserve">имеющего целевое назначение,</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pStyle w:val="0"/>
        <w:jc w:val="both"/>
      </w:pPr>
      <w:r>
        <w:rPr>
          <w:sz w:val="20"/>
        </w:rPr>
      </w:r>
    </w:p>
    <w:p>
      <w:pPr>
        <w:pStyle w:val="0"/>
        <w:jc w:val="center"/>
      </w:pPr>
      <w:r>
        <w:rPr>
          <w:sz w:val="20"/>
        </w:rPr>
        <w:t xml:space="preserve">ОТЧЕТ</w:t>
      </w:r>
    </w:p>
    <w:p>
      <w:pPr>
        <w:pStyle w:val="0"/>
        <w:jc w:val="center"/>
      </w:pPr>
      <w:r>
        <w:rPr>
          <w:sz w:val="20"/>
        </w:rPr>
        <w:t xml:space="preserve">о достижении значения(ий) результата регионального проекта</w:t>
      </w:r>
    </w:p>
    <w:p>
      <w:pPr>
        <w:pStyle w:val="0"/>
        <w:ind w:firstLine="540"/>
        <w:jc w:val="both"/>
      </w:pPr>
      <w:r>
        <w:rPr>
          <w:sz w:val="20"/>
        </w:rPr>
      </w:r>
    </w:p>
    <w:p>
      <w:pPr>
        <w:pStyle w:val="0"/>
        <w:ind w:firstLine="540"/>
        <w:jc w:val="both"/>
      </w:pPr>
      <w:r>
        <w:rPr>
          <w:sz w:val="20"/>
        </w:rPr>
        <w:t xml:space="preserve">Утратил силу с 1 марта 2020 года. - </w:t>
      </w:r>
      <w:hyperlink w:history="0" r:id="rId78" w:tooltip="Приказ Минфина России от 08.10.2019 N 161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22.11.2019 N 56610) {КонсультантПлюс}">
        <w:r>
          <w:rPr>
            <w:sz w:val="20"/>
            <w:color w:val="0000ff"/>
          </w:rPr>
          <w:t xml:space="preserve">Приказ</w:t>
        </w:r>
      </w:hyperlink>
      <w:r>
        <w:rPr>
          <w:sz w:val="20"/>
        </w:rPr>
        <w:t xml:space="preserve"> Минфина России от 08.10.2019 N 161н.</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Типовой форме соглашения</w:t>
      </w:r>
    </w:p>
    <w:p>
      <w:pPr>
        <w:pStyle w:val="0"/>
        <w:jc w:val="right"/>
      </w:pPr>
      <w:r>
        <w:rPr>
          <w:sz w:val="20"/>
        </w:rPr>
        <w:t xml:space="preserve">о предоставлении иного</w:t>
      </w:r>
    </w:p>
    <w:p>
      <w:pPr>
        <w:pStyle w:val="0"/>
        <w:jc w:val="right"/>
      </w:pPr>
      <w:r>
        <w:rPr>
          <w:sz w:val="20"/>
        </w:rPr>
        <w:t xml:space="preserve">межбюджетного трансферта,</w:t>
      </w:r>
    </w:p>
    <w:p>
      <w:pPr>
        <w:pStyle w:val="0"/>
        <w:jc w:val="right"/>
      </w:pPr>
      <w:r>
        <w:rPr>
          <w:sz w:val="20"/>
        </w:rPr>
        <w:t xml:space="preserve">имеющего целевое назначение,</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pStyle w:val="0"/>
        <w:jc w:val="both"/>
      </w:pPr>
      <w:r>
        <w:rPr>
          <w:sz w:val="20"/>
        </w:rPr>
      </w:r>
    </w:p>
    <w:p>
      <w:pPr>
        <w:pStyle w:val="0"/>
        <w:jc w:val="center"/>
      </w:pPr>
      <w:r>
        <w:rPr>
          <w:sz w:val="20"/>
        </w:rPr>
        <w:t xml:space="preserve">ОТЧЕТ</w:t>
      </w:r>
    </w:p>
    <w:p>
      <w:pPr>
        <w:pStyle w:val="0"/>
        <w:jc w:val="center"/>
      </w:pPr>
      <w:r>
        <w:rPr>
          <w:sz w:val="20"/>
        </w:rPr>
        <w:t xml:space="preserve">об исполнении графика выполнения мероприятий</w:t>
      </w:r>
    </w:p>
    <w:p>
      <w:pPr>
        <w:pStyle w:val="0"/>
        <w:jc w:val="center"/>
      </w:pPr>
      <w:r>
        <w:rPr>
          <w:sz w:val="20"/>
        </w:rPr>
        <w:t xml:space="preserve">по проектированию и (или) строительству (реконструкции,</w:t>
      </w:r>
    </w:p>
    <w:p>
      <w:pPr>
        <w:pStyle w:val="0"/>
        <w:jc w:val="center"/>
      </w:pPr>
      <w:r>
        <w:rPr>
          <w:sz w:val="20"/>
        </w:rPr>
        <w:t xml:space="preserve">в том числе с элементами реставрации, техническому</w:t>
      </w:r>
    </w:p>
    <w:p>
      <w:pPr>
        <w:pStyle w:val="0"/>
        <w:jc w:val="center"/>
      </w:pPr>
      <w:r>
        <w:rPr>
          <w:sz w:val="20"/>
        </w:rPr>
        <w:t xml:space="preserve">перевооружению) объектов капитального строительства</w:t>
      </w:r>
    </w:p>
    <w:p>
      <w:pPr>
        <w:pStyle w:val="0"/>
        <w:jc w:val="both"/>
      </w:pPr>
      <w:r>
        <w:rPr>
          <w:sz w:val="20"/>
        </w:rPr>
      </w:r>
    </w:p>
    <w:p>
      <w:pPr>
        <w:pStyle w:val="0"/>
        <w:ind w:firstLine="540"/>
        <w:jc w:val="both"/>
      </w:pPr>
      <w:r>
        <w:rPr>
          <w:sz w:val="20"/>
        </w:rPr>
        <w:t xml:space="preserve">Утратил силу. - </w:t>
      </w:r>
      <w:hyperlink w:history="0" r:id="rId79" w:tooltip="Приказ Минфина России от 06.12.2023 N 193н &quot;О внесении изменений в Типовую форму соглашения о предоставлении субсидии из федерального бюджета бюджету субъекта Российской Федерации, утвержденную приказом Министерства финансов Российской Федерации от 14 декабря 2018 г. N 269н,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КонсультантПлюс}">
        <w:r>
          <w:rPr>
            <w:sz w:val="20"/>
            <w:color w:val="0000ff"/>
          </w:rPr>
          <w:t xml:space="preserve">Приказ</w:t>
        </w:r>
      </w:hyperlink>
      <w:r>
        <w:rPr>
          <w:sz w:val="20"/>
        </w:rPr>
        <w:t xml:space="preserve"> Минфина России от 06.12.2023 N 193н.</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12</w:t>
      </w:r>
    </w:p>
    <w:p>
      <w:pPr>
        <w:pStyle w:val="0"/>
        <w:jc w:val="right"/>
      </w:pPr>
      <w:r>
        <w:rPr>
          <w:sz w:val="20"/>
        </w:rPr>
        <w:t xml:space="preserve">к Типовой форме соглашения</w:t>
      </w:r>
    </w:p>
    <w:p>
      <w:pPr>
        <w:pStyle w:val="0"/>
        <w:jc w:val="right"/>
      </w:pPr>
      <w:r>
        <w:rPr>
          <w:sz w:val="20"/>
        </w:rPr>
        <w:t xml:space="preserve">о предоставлении иного</w:t>
      </w:r>
    </w:p>
    <w:p>
      <w:pPr>
        <w:pStyle w:val="0"/>
        <w:jc w:val="right"/>
      </w:pPr>
      <w:r>
        <w:rPr>
          <w:sz w:val="20"/>
        </w:rPr>
        <w:t xml:space="preserve">межбюджетного трансферта,</w:t>
      </w:r>
    </w:p>
    <w:p>
      <w:pPr>
        <w:pStyle w:val="0"/>
        <w:jc w:val="right"/>
      </w:pPr>
      <w:r>
        <w:rPr>
          <w:sz w:val="20"/>
        </w:rPr>
        <w:t xml:space="preserve">имеющего целевое назначение,</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pStyle w:val="0"/>
        <w:jc w:val="both"/>
      </w:pPr>
      <w:r>
        <w:rPr>
          <w:sz w:val="20"/>
        </w:rPr>
      </w:r>
    </w:p>
    <w:p>
      <w:pPr>
        <w:pStyle w:val="0"/>
        <w:jc w:val="center"/>
      </w:pPr>
      <w:r>
        <w:rPr>
          <w:sz w:val="20"/>
        </w:rPr>
        <w:t xml:space="preserve">ОТЧЕТ</w:t>
      </w:r>
    </w:p>
    <w:p>
      <w:pPr>
        <w:pStyle w:val="0"/>
        <w:jc w:val="center"/>
      </w:pPr>
      <w:r>
        <w:rPr>
          <w:sz w:val="20"/>
        </w:rPr>
        <w:t xml:space="preserve">об исполнении графика выполнения мероприятий</w:t>
      </w:r>
    </w:p>
    <w:p>
      <w:pPr>
        <w:pStyle w:val="0"/>
        <w:jc w:val="center"/>
      </w:pPr>
      <w:r>
        <w:rPr>
          <w:sz w:val="20"/>
        </w:rPr>
        <w:t xml:space="preserve">по приобретению объектов недвижимого имущества</w:t>
      </w:r>
    </w:p>
    <w:p>
      <w:pPr>
        <w:pStyle w:val="0"/>
        <w:ind w:firstLine="540"/>
        <w:jc w:val="both"/>
      </w:pPr>
      <w:r>
        <w:rPr>
          <w:sz w:val="20"/>
        </w:rPr>
      </w:r>
    </w:p>
    <w:p>
      <w:pPr>
        <w:pStyle w:val="0"/>
        <w:ind w:firstLine="540"/>
        <w:jc w:val="both"/>
      </w:pPr>
      <w:r>
        <w:rPr>
          <w:sz w:val="20"/>
        </w:rPr>
        <w:t xml:space="preserve">Утратил силу с 1 марта 2020 года. - </w:t>
      </w:r>
      <w:hyperlink w:history="0" r:id="rId80" w:tooltip="Приказ Минфина России от 08.10.2019 N 161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22.11.2019 N 56610) {КонсультантПлюс}">
        <w:r>
          <w:rPr>
            <w:sz w:val="20"/>
            <w:color w:val="0000ff"/>
          </w:rPr>
          <w:t xml:space="preserve">Приказ</w:t>
        </w:r>
      </w:hyperlink>
      <w:r>
        <w:rPr>
          <w:sz w:val="20"/>
        </w:rPr>
        <w:t xml:space="preserve"> Минфина России от 08.10.2019 N 161н.</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13</w:t>
      </w:r>
    </w:p>
    <w:p>
      <w:pPr>
        <w:pStyle w:val="0"/>
        <w:jc w:val="right"/>
      </w:pPr>
      <w:r>
        <w:rPr>
          <w:sz w:val="20"/>
        </w:rPr>
        <w:t xml:space="preserve">к Типовой форме соглашения</w:t>
      </w:r>
    </w:p>
    <w:p>
      <w:pPr>
        <w:pStyle w:val="0"/>
        <w:jc w:val="right"/>
      </w:pPr>
      <w:r>
        <w:rPr>
          <w:sz w:val="20"/>
        </w:rPr>
        <w:t xml:space="preserve">о предоставлении иного</w:t>
      </w:r>
    </w:p>
    <w:p>
      <w:pPr>
        <w:pStyle w:val="0"/>
        <w:jc w:val="right"/>
      </w:pPr>
      <w:r>
        <w:rPr>
          <w:sz w:val="20"/>
        </w:rPr>
        <w:t xml:space="preserve">межбюджетного трансферта,</w:t>
      </w:r>
    </w:p>
    <w:p>
      <w:pPr>
        <w:pStyle w:val="0"/>
        <w:jc w:val="right"/>
      </w:pPr>
      <w:r>
        <w:rPr>
          <w:sz w:val="20"/>
        </w:rPr>
        <w:t xml:space="preserve">имеющего целевое назначение,</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1" w:tooltip="Приказ Минфина России от 14.08.2023 N 133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5.09.2023 N 75245) {КонсультантПлюс}">
              <w:r>
                <w:rPr>
                  <w:sz w:val="20"/>
                  <w:color w:val="0000ff"/>
                </w:rPr>
                <w:t xml:space="preserve">Приказа</w:t>
              </w:r>
            </w:hyperlink>
            <w:r>
              <w:rPr>
                <w:sz w:val="20"/>
                <w:color w:val="392c69"/>
              </w:rPr>
              <w:t xml:space="preserve"> Минфина России от 14.08.2023 N 133н)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2358" w:name="P2358"/>
    <w:bookmarkEnd w:id="2358"/>
    <w:p>
      <w:pPr>
        <w:pStyle w:val="0"/>
        <w:jc w:val="center"/>
      </w:pPr>
      <w:r>
        <w:rPr>
          <w:sz w:val="20"/>
        </w:rPr>
        <w:t xml:space="preserve">Типовая форма дополнительного соглашения</w:t>
      </w:r>
    </w:p>
    <w:p>
      <w:pPr>
        <w:pStyle w:val="0"/>
        <w:jc w:val="center"/>
      </w:pPr>
      <w:r>
        <w:rPr>
          <w:sz w:val="20"/>
        </w:rPr>
        <w:t xml:space="preserve">к Соглашению о предоставлении иного межбюджетного</w:t>
      </w:r>
    </w:p>
    <w:p>
      <w:pPr>
        <w:pStyle w:val="0"/>
        <w:jc w:val="center"/>
      </w:pPr>
      <w:r>
        <w:rPr>
          <w:sz w:val="20"/>
        </w:rPr>
        <w:t xml:space="preserve">трансферта, имеющего целевое назначение, из федерального</w:t>
      </w:r>
    </w:p>
    <w:p>
      <w:pPr>
        <w:pStyle w:val="0"/>
        <w:jc w:val="center"/>
      </w:pPr>
      <w:r>
        <w:rPr>
          <w:sz w:val="20"/>
        </w:rPr>
        <w:t xml:space="preserve">бюджета бюджету субъекта Российской Федерации</w:t>
      </w:r>
    </w:p>
    <w:p>
      <w:pPr>
        <w:pStyle w:val="0"/>
        <w:jc w:val="center"/>
      </w:pPr>
      <w:r>
        <w:rPr>
          <w:sz w:val="20"/>
        </w:rPr>
        <w:t xml:space="preserve">от "__" ___________ N ____</w:t>
      </w:r>
    </w:p>
    <w:p>
      <w:pPr>
        <w:pStyle w:val="0"/>
        <w:jc w:val="both"/>
      </w:pPr>
      <w:r>
        <w:rPr>
          <w:sz w:val="20"/>
        </w:rPr>
      </w:r>
    </w:p>
    <w:p>
      <w:pPr>
        <w:pStyle w:val="1"/>
        <w:jc w:val="both"/>
      </w:pPr>
      <w:r>
        <w:rPr>
          <w:sz w:val="20"/>
        </w:rPr>
        <w:t xml:space="preserve">"__" _________________ 20__ г.                         N __________________</w:t>
      </w:r>
    </w:p>
    <w:p>
      <w:pPr>
        <w:pStyle w:val="1"/>
        <w:jc w:val="both"/>
      </w:pPr>
      <w:r>
        <w:rPr>
          <w:sz w:val="20"/>
        </w:rPr>
        <w:t xml:space="preserve"> (дата заключения соглашения)                            (номер соглашения)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исполнительной власти)</w:t>
      </w:r>
    </w:p>
    <w:p>
      <w:pPr>
        <w:pStyle w:val="1"/>
        <w:jc w:val="both"/>
      </w:pPr>
      <w:r>
        <w:rPr>
          <w:sz w:val="20"/>
        </w:rPr>
        <w:t xml:space="preserve">которому  как  получателю  средств  федерального  бюджета  доведены  лимиты</w:t>
      </w:r>
    </w:p>
    <w:p>
      <w:pPr>
        <w:pStyle w:val="1"/>
        <w:jc w:val="both"/>
      </w:pPr>
      <w:r>
        <w:rPr>
          <w:sz w:val="20"/>
        </w:rPr>
        <w:t xml:space="preserve">бюджетных    обязательств    на    предоставление    иного    межбюджетного</w:t>
      </w:r>
    </w:p>
    <w:p>
      <w:pPr>
        <w:pStyle w:val="1"/>
        <w:jc w:val="both"/>
      </w:pPr>
      <w:r>
        <w:rPr>
          <w:sz w:val="20"/>
        </w:rPr>
        <w:t xml:space="preserve">трансферта,     имеющего    целевое    назначение,    бюджетам    субъектов</w:t>
      </w:r>
    </w:p>
    <w:p>
      <w:pPr>
        <w:pStyle w:val="1"/>
        <w:jc w:val="both"/>
      </w:pPr>
      <w:r>
        <w:rPr>
          <w:sz w:val="20"/>
        </w:rPr>
        <w:t xml:space="preserve">Российской        Федерации,        именуемое(ая)        в       дальнейшем</w:t>
      </w:r>
    </w:p>
    <w:p>
      <w:pPr>
        <w:pStyle w:val="1"/>
        <w:jc w:val="both"/>
      </w:pPr>
      <w:r>
        <w:rPr>
          <w:sz w:val="20"/>
        </w:rPr>
        <w:t xml:space="preserve">__________________________________________________________________________,</w:t>
      </w:r>
    </w:p>
    <w:p>
      <w:pPr>
        <w:pStyle w:val="1"/>
        <w:jc w:val="both"/>
      </w:pPr>
      <w:r>
        <w:rPr>
          <w:sz w:val="20"/>
        </w:rPr>
        <w:t xml:space="preserve">                   (Министерство, Агентство, Служба) </w:t>
      </w:r>
      <w:hyperlink w:history="0" w:anchor="P2499" w:tooltip="&lt;1&gt; Указывается соответственно Министерство (Агентство, Служба), которому(ой) как получателю средств федерального бюджета доведены лимиты бюджетных обязательств на предоставление иного межбюджетного трансферта, имеющего целевое назначение, из федерального бюджета бюджетам субъектов Российской Федерации.">
        <w:r>
          <w:rPr>
            <w:sz w:val="20"/>
            <w:color w:val="0000ff"/>
          </w:rPr>
          <w:t xml:space="preserve">&lt;1&gt;</w:t>
        </w:r>
      </w:hyperlink>
    </w:p>
    <w:p>
      <w:pPr>
        <w:pStyle w:val="1"/>
        <w:jc w:val="both"/>
      </w:pPr>
      <w:r>
        <w:rPr>
          <w:sz w:val="20"/>
        </w:rPr>
        <w:t xml:space="preserve">в лице ____________________________________________________________________</w:t>
      </w:r>
    </w:p>
    <w:p>
      <w:pPr>
        <w:pStyle w:val="1"/>
        <w:jc w:val="both"/>
      </w:pPr>
      <w:r>
        <w:rPr>
          <w:sz w:val="20"/>
        </w:rPr>
        <w:t xml:space="preserve">            (наименование должности руководителя федерального органа</w:t>
      </w:r>
    </w:p>
    <w:p>
      <w:pPr>
        <w:pStyle w:val="1"/>
        <w:jc w:val="both"/>
      </w:pPr>
      <w:r>
        <w:rPr>
          <w:sz w:val="20"/>
        </w:rPr>
        <w:t xml:space="preserve">               исполнительной власти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действующего(ей) на основании ____________________________________________,</w:t>
      </w:r>
    </w:p>
    <w:p>
      <w:pPr>
        <w:pStyle w:val="1"/>
        <w:jc w:val="both"/>
      </w:pPr>
      <w:r>
        <w:rPr>
          <w:sz w:val="20"/>
        </w:rPr>
        <w:t xml:space="preserve">                                    (положение о федеральном органе</w:t>
      </w:r>
    </w:p>
    <w:p>
      <w:pPr>
        <w:pStyle w:val="1"/>
        <w:jc w:val="both"/>
      </w:pPr>
      <w:r>
        <w:rPr>
          <w:sz w:val="20"/>
        </w:rPr>
        <w:t xml:space="preserve">                              исполнительной власти, доверенность, приказ</w:t>
      </w:r>
    </w:p>
    <w:p>
      <w:pPr>
        <w:pStyle w:val="1"/>
        <w:jc w:val="both"/>
      </w:pPr>
      <w:r>
        <w:rPr>
          <w:sz w:val="20"/>
        </w:rPr>
        <w:t xml:space="preserve">                                   или иной документ, удостоверяющий</w:t>
      </w:r>
    </w:p>
    <w:p>
      <w:pPr>
        <w:pStyle w:val="1"/>
        <w:jc w:val="both"/>
      </w:pPr>
      <w:r>
        <w:rPr>
          <w:sz w:val="20"/>
        </w:rPr>
        <w:t xml:space="preserve">                                              полномочия)</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высшего исполнительного органа</w:t>
      </w:r>
    </w:p>
    <w:p>
      <w:pPr>
        <w:pStyle w:val="1"/>
        <w:jc w:val="both"/>
      </w:pPr>
      <w:r>
        <w:rPr>
          <w:sz w:val="20"/>
        </w:rPr>
        <w:t xml:space="preserve">                               субъекта Российской Федерации)</w:t>
      </w:r>
    </w:p>
    <w:p>
      <w:pPr>
        <w:pStyle w:val="1"/>
        <w:jc w:val="both"/>
      </w:pPr>
      <w:r>
        <w:rPr>
          <w:sz w:val="20"/>
        </w:rPr>
        <w:t xml:space="preserve">именуемое(ая)        в       дальнейшем       "Субъект",       в       лице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руководителя высшего исполнительного органа</w:t>
      </w:r>
    </w:p>
    <w:p>
      <w:pPr>
        <w:pStyle w:val="1"/>
        <w:jc w:val="both"/>
      </w:pPr>
      <w:r>
        <w:rPr>
          <w:sz w:val="20"/>
        </w:rPr>
        <w:t xml:space="preserve">        субъекта Российской Федерации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действующего(ей) на основании ____________________________________________,</w:t>
      </w:r>
    </w:p>
    <w:p>
      <w:pPr>
        <w:pStyle w:val="1"/>
        <w:jc w:val="both"/>
      </w:pPr>
      <w:r>
        <w:rPr>
          <w:sz w:val="20"/>
        </w:rPr>
        <w:t xml:space="preserve">                              (устав, закон субъекта Российской Федерации,</w:t>
      </w:r>
    </w:p>
    <w:p>
      <w:pPr>
        <w:pStyle w:val="1"/>
        <w:jc w:val="both"/>
      </w:pPr>
      <w:r>
        <w:rPr>
          <w:sz w:val="20"/>
        </w:rPr>
        <w:t xml:space="preserve">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с      другой      стороны,     далее     при     совместном     упоминании</w:t>
      </w:r>
    </w:p>
    <w:p>
      <w:pPr>
        <w:pStyle w:val="1"/>
        <w:jc w:val="both"/>
      </w:pPr>
      <w:r>
        <w:rPr>
          <w:sz w:val="20"/>
        </w:rPr>
        <w:t xml:space="preserve">именуемые "Стороны", в соответствии с _____________ </w:t>
      </w:r>
      <w:hyperlink w:history="0" w:anchor="P2500" w:tooltip="&lt;2&gt; Указывается пункт Соглашения, предусматривающий возможность изменения Соглашения по инициативе Сторон в виде Дополнительного соглашения к нему и иное основание, являющееся основанием для заключения Дополнительного соглашения.">
        <w:r>
          <w:rPr>
            <w:sz w:val="20"/>
            <w:color w:val="0000ff"/>
          </w:rPr>
          <w:t xml:space="preserve">&lt;2&gt;</w:t>
        </w:r>
      </w:hyperlink>
      <w:r>
        <w:rPr>
          <w:sz w:val="20"/>
        </w:rPr>
        <w:t xml:space="preserve"> заключили настоящее</w:t>
      </w:r>
    </w:p>
    <w:p>
      <w:pPr>
        <w:pStyle w:val="1"/>
        <w:jc w:val="both"/>
      </w:pPr>
      <w:r>
        <w:rPr>
          <w:sz w:val="20"/>
        </w:rPr>
        <w:t xml:space="preserve">Дополнительное  соглашение  N  ____  к  Соглашению  о  предоставлении иного</w:t>
      </w:r>
    </w:p>
    <w:p>
      <w:pPr>
        <w:pStyle w:val="1"/>
        <w:jc w:val="both"/>
      </w:pPr>
      <w:r>
        <w:rPr>
          <w:sz w:val="20"/>
        </w:rPr>
        <w:t xml:space="preserve">межбюджетного  трансферта,  имеющего  целевое  назначение,  из федерального</w:t>
      </w:r>
    </w:p>
    <w:p>
      <w:pPr>
        <w:pStyle w:val="1"/>
        <w:jc w:val="both"/>
      </w:pPr>
      <w:r>
        <w:rPr>
          <w:sz w:val="20"/>
        </w:rPr>
        <w:t xml:space="preserve">бюджета  бюджету субъекта Российской Федерации от "__" _____________ N ____</w:t>
      </w:r>
    </w:p>
    <w:p>
      <w:pPr>
        <w:pStyle w:val="1"/>
        <w:jc w:val="both"/>
      </w:pPr>
      <w:r>
        <w:rPr>
          <w:sz w:val="20"/>
        </w:rPr>
        <w:t xml:space="preserve">(далее   соответственно   -   Дополнительное   соглашение,   Соглашение)  о</w:t>
      </w:r>
    </w:p>
    <w:p>
      <w:pPr>
        <w:pStyle w:val="1"/>
        <w:jc w:val="both"/>
      </w:pPr>
      <w:r>
        <w:rPr>
          <w:sz w:val="20"/>
        </w:rPr>
        <w:t xml:space="preserve">нижеследующем.</w:t>
      </w:r>
    </w:p>
    <w:p>
      <w:pPr>
        <w:pStyle w:val="0"/>
        <w:ind w:firstLine="540"/>
        <w:jc w:val="both"/>
      </w:pPr>
      <w:r>
        <w:rPr>
          <w:sz w:val="20"/>
        </w:rPr>
        <w:t xml:space="preserve">1. Внести в Соглашение следующие изменения </w:t>
      </w:r>
      <w:hyperlink w:history="0" w:anchor="P2501" w:tooltip="&lt;3&gt; 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
        <w:r>
          <w:rPr>
            <w:sz w:val="20"/>
            <w:color w:val="0000ff"/>
          </w:rPr>
          <w:t xml:space="preserve">&lt;3&gt;</w:t>
        </w:r>
      </w:hyperlink>
      <w:r>
        <w:rPr>
          <w:sz w:val="20"/>
        </w:rPr>
        <w:t xml:space="preserve">:</w:t>
      </w:r>
    </w:p>
    <w:p>
      <w:pPr>
        <w:pStyle w:val="0"/>
        <w:spacing w:before="200" w:lineRule="auto"/>
        <w:ind w:firstLine="540"/>
        <w:jc w:val="both"/>
      </w:pPr>
      <w:r>
        <w:rPr>
          <w:sz w:val="20"/>
        </w:rPr>
        <w:t xml:space="preserve">1.1. Наименование Соглашения изложить в следующей редакции: "_____________________________".</w:t>
      </w:r>
    </w:p>
    <w:p>
      <w:pPr>
        <w:pStyle w:val="0"/>
        <w:spacing w:before="200" w:lineRule="auto"/>
        <w:ind w:firstLine="540"/>
        <w:jc w:val="both"/>
      </w:pPr>
      <w:r>
        <w:rPr>
          <w:sz w:val="20"/>
        </w:rPr>
        <w:t xml:space="preserve">1.2. В преамбуле слова "__________________" заменить словами "_________________".</w:t>
      </w:r>
    </w:p>
    <w:p>
      <w:pPr>
        <w:pStyle w:val="0"/>
        <w:spacing w:before="200" w:lineRule="auto"/>
        <w:ind w:firstLine="540"/>
        <w:jc w:val="both"/>
      </w:pPr>
      <w:r>
        <w:rPr>
          <w:sz w:val="20"/>
        </w:rPr>
        <w:t xml:space="preserve">1.2. В преамбуле слова "_________________________" заменить словами "__________________".</w:t>
      </w:r>
    </w:p>
    <w:p>
      <w:pPr>
        <w:pStyle w:val="0"/>
        <w:spacing w:before="200" w:lineRule="auto"/>
        <w:ind w:firstLine="540"/>
        <w:jc w:val="both"/>
      </w:pPr>
      <w:r>
        <w:rPr>
          <w:sz w:val="20"/>
        </w:rPr>
        <w:t xml:space="preserve">1.3. В главе I:</w:t>
      </w:r>
    </w:p>
    <w:p>
      <w:pPr>
        <w:pStyle w:val="1"/>
        <w:spacing w:before="200" w:lineRule="auto"/>
        <w:jc w:val="both"/>
      </w:pPr>
      <w:r>
        <w:rPr>
          <w:sz w:val="20"/>
        </w:rPr>
        <w:t xml:space="preserve">    1.3.1. Пункт _____ изложить в следующей редакции: "__________________".</w:t>
      </w:r>
    </w:p>
    <w:p>
      <w:pPr>
        <w:pStyle w:val="1"/>
        <w:jc w:val="both"/>
      </w:pPr>
      <w:r>
        <w:rPr>
          <w:sz w:val="20"/>
        </w:rPr>
        <w:t xml:space="preserve">                                                          (текст пункта</w:t>
      </w:r>
    </w:p>
    <w:p>
      <w:pPr>
        <w:pStyle w:val="1"/>
        <w:jc w:val="both"/>
      </w:pPr>
      <w:r>
        <w:rPr>
          <w:sz w:val="20"/>
        </w:rPr>
        <w:t xml:space="preserve">                                                        в новой редакции)</w:t>
      </w:r>
    </w:p>
    <w:p>
      <w:pPr>
        <w:pStyle w:val="0"/>
        <w:ind w:firstLine="540"/>
        <w:jc w:val="both"/>
      </w:pPr>
      <w:r>
        <w:rPr>
          <w:sz w:val="20"/>
        </w:rPr>
        <w:t xml:space="preserve">1.4. В главе II:</w:t>
      </w:r>
    </w:p>
    <w:p>
      <w:pPr>
        <w:pStyle w:val="1"/>
        <w:spacing w:before="200" w:lineRule="auto"/>
        <w:jc w:val="both"/>
      </w:pPr>
      <w:r>
        <w:rPr>
          <w:sz w:val="20"/>
        </w:rPr>
        <w:t xml:space="preserve">    1.4.1. Пункт _____ изложить в следующей редакции: "__________________".</w:t>
      </w:r>
    </w:p>
    <w:p>
      <w:pPr>
        <w:pStyle w:val="1"/>
        <w:jc w:val="both"/>
      </w:pPr>
      <w:r>
        <w:rPr>
          <w:sz w:val="20"/>
        </w:rPr>
        <w:t xml:space="preserve">                                                          (текст пункта</w:t>
      </w:r>
    </w:p>
    <w:p>
      <w:pPr>
        <w:pStyle w:val="1"/>
        <w:jc w:val="both"/>
      </w:pPr>
      <w:r>
        <w:rPr>
          <w:sz w:val="20"/>
        </w:rPr>
        <w:t xml:space="preserve">                                                        в новой редакции)</w:t>
      </w:r>
    </w:p>
    <w:p>
      <w:pPr>
        <w:pStyle w:val="0"/>
        <w:ind w:firstLine="540"/>
        <w:jc w:val="both"/>
      </w:pPr>
      <w:r>
        <w:rPr>
          <w:sz w:val="20"/>
        </w:rPr>
        <w:t xml:space="preserve">1.5. В главе III:</w:t>
      </w:r>
    </w:p>
    <w:p>
      <w:pPr>
        <w:pStyle w:val="1"/>
        <w:spacing w:before="200" w:lineRule="auto"/>
        <w:jc w:val="both"/>
      </w:pPr>
      <w:r>
        <w:rPr>
          <w:sz w:val="20"/>
        </w:rPr>
        <w:t xml:space="preserve">    1.5.1. Пункт _____ изложить в следующей редакции: "__________________".</w:t>
      </w:r>
    </w:p>
    <w:p>
      <w:pPr>
        <w:pStyle w:val="1"/>
        <w:jc w:val="both"/>
      </w:pPr>
      <w:r>
        <w:rPr>
          <w:sz w:val="20"/>
        </w:rPr>
        <w:t xml:space="preserve">                                                          (текст пункта</w:t>
      </w:r>
    </w:p>
    <w:p>
      <w:pPr>
        <w:pStyle w:val="1"/>
        <w:jc w:val="both"/>
      </w:pPr>
      <w:r>
        <w:rPr>
          <w:sz w:val="20"/>
        </w:rPr>
        <w:t xml:space="preserve">                                                        в новой редакции)</w:t>
      </w:r>
    </w:p>
    <w:p>
      <w:pPr>
        <w:pStyle w:val="0"/>
        <w:ind w:firstLine="540"/>
        <w:jc w:val="both"/>
      </w:pPr>
      <w:r>
        <w:rPr>
          <w:sz w:val="20"/>
        </w:rPr>
        <w:t xml:space="preserve">1.6. В главе IV:</w:t>
      </w:r>
    </w:p>
    <w:p>
      <w:pPr>
        <w:pStyle w:val="1"/>
        <w:spacing w:before="200" w:lineRule="auto"/>
        <w:jc w:val="both"/>
      </w:pPr>
      <w:r>
        <w:rPr>
          <w:sz w:val="20"/>
        </w:rPr>
        <w:t xml:space="preserve">    1.6.1. Пункт _____ изложить в следующей редакции: "__________________".</w:t>
      </w:r>
    </w:p>
    <w:p>
      <w:pPr>
        <w:pStyle w:val="1"/>
        <w:jc w:val="both"/>
      </w:pPr>
      <w:r>
        <w:rPr>
          <w:sz w:val="20"/>
        </w:rPr>
        <w:t xml:space="preserve">                                                          (текст пункта</w:t>
      </w:r>
    </w:p>
    <w:p>
      <w:pPr>
        <w:pStyle w:val="1"/>
        <w:jc w:val="both"/>
      </w:pPr>
      <w:r>
        <w:rPr>
          <w:sz w:val="20"/>
        </w:rPr>
        <w:t xml:space="preserve">                                                        в новой редакции)</w:t>
      </w:r>
    </w:p>
    <w:p>
      <w:pPr>
        <w:pStyle w:val="0"/>
        <w:ind w:firstLine="540"/>
        <w:jc w:val="both"/>
      </w:pPr>
      <w:r>
        <w:rPr>
          <w:sz w:val="20"/>
        </w:rPr>
        <w:t xml:space="preserve">1.6.2. Дополнить пунктом ____ следующего содержания:</w:t>
      </w:r>
    </w:p>
    <w:p>
      <w:pPr>
        <w:pStyle w:val="1"/>
        <w:spacing w:before="200" w:lineRule="auto"/>
        <w:jc w:val="both"/>
      </w:pPr>
      <w:r>
        <w:rPr>
          <w:sz w:val="20"/>
        </w:rPr>
        <w:t xml:space="preserve">"________________________________________________________________________".</w:t>
      </w:r>
    </w:p>
    <w:p>
      <w:pPr>
        <w:pStyle w:val="1"/>
        <w:jc w:val="both"/>
      </w:pPr>
      <w:r>
        <w:rPr>
          <w:sz w:val="20"/>
        </w:rPr>
        <w:t xml:space="preserve">                              (текст пункта)</w:t>
      </w:r>
    </w:p>
    <w:p>
      <w:pPr>
        <w:pStyle w:val="0"/>
        <w:ind w:firstLine="540"/>
        <w:jc w:val="both"/>
      </w:pPr>
      <w:r>
        <w:rPr>
          <w:sz w:val="20"/>
        </w:rPr>
        <w:t xml:space="preserve">1.7. В главе VI </w:t>
      </w:r>
      <w:hyperlink w:history="0" w:anchor="P2502" w:tooltip="&lt;4&gt; Оформляется при наличии в Соглашении главы VI.">
        <w:r>
          <w:rPr>
            <w:sz w:val="20"/>
            <w:color w:val="0000ff"/>
          </w:rPr>
          <w:t xml:space="preserve">&lt;4&gt;</w:t>
        </w:r>
      </w:hyperlink>
      <w:r>
        <w:rPr>
          <w:sz w:val="20"/>
        </w:rPr>
        <w:t xml:space="preserve">:</w:t>
      </w:r>
    </w:p>
    <w:p>
      <w:pPr>
        <w:pStyle w:val="1"/>
        <w:spacing w:before="200" w:lineRule="auto"/>
        <w:jc w:val="both"/>
      </w:pPr>
      <w:r>
        <w:rPr>
          <w:sz w:val="20"/>
        </w:rPr>
        <w:t xml:space="preserve">    1.7.1. Пункт _____ изложить в следующей редакции: "__________________".</w:t>
      </w:r>
    </w:p>
    <w:p>
      <w:pPr>
        <w:pStyle w:val="1"/>
        <w:jc w:val="both"/>
      </w:pPr>
      <w:r>
        <w:rPr>
          <w:sz w:val="20"/>
        </w:rPr>
        <w:t xml:space="preserve">                                                          (текст пункта</w:t>
      </w:r>
    </w:p>
    <w:p>
      <w:pPr>
        <w:pStyle w:val="1"/>
        <w:jc w:val="both"/>
      </w:pPr>
      <w:r>
        <w:rPr>
          <w:sz w:val="20"/>
        </w:rPr>
        <w:t xml:space="preserve">                                                        в новой редакции)</w:t>
      </w:r>
    </w:p>
    <w:p>
      <w:pPr>
        <w:pStyle w:val="0"/>
        <w:ind w:firstLine="540"/>
        <w:jc w:val="both"/>
      </w:pPr>
      <w:r>
        <w:rPr>
          <w:sz w:val="20"/>
        </w:rPr>
        <w:t xml:space="preserve">1.7.2. Дополнить пунктом ______ следующего содержания:</w:t>
      </w:r>
    </w:p>
    <w:p>
      <w:pPr>
        <w:pStyle w:val="1"/>
        <w:spacing w:before="200" w:lineRule="auto"/>
        <w:jc w:val="both"/>
      </w:pPr>
      <w:r>
        <w:rPr>
          <w:sz w:val="20"/>
        </w:rPr>
        <w:t xml:space="preserve">"________________________________________________________________________".</w:t>
      </w:r>
    </w:p>
    <w:p>
      <w:pPr>
        <w:pStyle w:val="1"/>
        <w:jc w:val="both"/>
      </w:pPr>
      <w:r>
        <w:rPr>
          <w:sz w:val="20"/>
        </w:rPr>
        <w:t xml:space="preserve">                              (текст пункта)</w:t>
      </w:r>
    </w:p>
    <w:p>
      <w:pPr>
        <w:pStyle w:val="0"/>
        <w:ind w:firstLine="540"/>
        <w:jc w:val="both"/>
      </w:pPr>
      <w:r>
        <w:rPr>
          <w:sz w:val="20"/>
        </w:rPr>
        <w:t xml:space="preserve">1.8. Дополнить Соглашение главой VI следующего содержания </w:t>
      </w:r>
      <w:hyperlink w:history="0" w:anchor="P2503" w:tooltip="&lt;5&gt; Оформляется при отсутствии в Соглашении главы VI.">
        <w:r>
          <w:rPr>
            <w:sz w:val="20"/>
            <w:color w:val="0000ff"/>
          </w:rPr>
          <w:t xml:space="preserve">&lt;5&gt;</w:t>
        </w:r>
      </w:hyperlink>
      <w:r>
        <w:rPr>
          <w:sz w:val="20"/>
        </w:rPr>
        <w:t xml:space="preserve">:</w:t>
      </w:r>
    </w:p>
    <w:p>
      <w:pPr>
        <w:pStyle w:val="0"/>
        <w:jc w:val="both"/>
      </w:pPr>
      <w:r>
        <w:rPr>
          <w:sz w:val="20"/>
        </w:rPr>
      </w:r>
    </w:p>
    <w:p>
      <w:pPr>
        <w:pStyle w:val="0"/>
        <w:jc w:val="center"/>
      </w:pPr>
      <w:r>
        <w:rPr>
          <w:sz w:val="20"/>
        </w:rPr>
        <w:t xml:space="preserve">"VI. Иные условия</w:t>
      </w:r>
    </w:p>
    <w:p>
      <w:pPr>
        <w:pStyle w:val="0"/>
        <w:jc w:val="both"/>
      </w:pPr>
      <w:r>
        <w:rPr>
          <w:sz w:val="20"/>
        </w:rPr>
      </w:r>
    </w:p>
    <w:p>
      <w:pPr>
        <w:pStyle w:val="0"/>
        <w:ind w:firstLine="540"/>
        <w:jc w:val="both"/>
      </w:pPr>
      <w:r>
        <w:rPr>
          <w:sz w:val="20"/>
        </w:rPr>
        <w:t xml:space="preserve">6.1. Иные условия по настоящему Соглашению:</w:t>
      </w:r>
    </w:p>
    <w:p>
      <w:pPr>
        <w:pStyle w:val="1"/>
        <w:spacing w:before="200" w:lineRule="auto"/>
        <w:jc w:val="both"/>
      </w:pPr>
      <w:r>
        <w:rPr>
          <w:sz w:val="20"/>
        </w:rPr>
        <w:t xml:space="preserve">    6.1.1.   Уполномоченным   органом   исполнительной   власти   Субъекта,</w:t>
      </w:r>
    </w:p>
    <w:p>
      <w:pPr>
        <w:pStyle w:val="1"/>
        <w:jc w:val="both"/>
      </w:pPr>
      <w:r>
        <w:rPr>
          <w:sz w:val="20"/>
        </w:rPr>
        <w:t xml:space="preserve">осуществляющим взаимодействие с __________________________________________,</w:t>
      </w:r>
    </w:p>
    <w:p>
      <w:pPr>
        <w:pStyle w:val="1"/>
        <w:jc w:val="both"/>
      </w:pPr>
      <w:r>
        <w:rPr>
          <w:sz w:val="20"/>
        </w:rPr>
        <w:t xml:space="preserve">                                    (Министерство, Агентство, Служба)</w:t>
      </w:r>
    </w:p>
    <w:p>
      <w:pPr>
        <w:pStyle w:val="1"/>
        <w:jc w:val="both"/>
      </w:pPr>
      <w:r>
        <w:rPr>
          <w:sz w:val="20"/>
        </w:rPr>
        <w:t xml:space="preserve">на который со стороны Субъекта возлагаются функции по исполнению настоящего</w:t>
      </w:r>
    </w:p>
    <w:p>
      <w:pPr>
        <w:pStyle w:val="1"/>
        <w:jc w:val="both"/>
      </w:pPr>
      <w:r>
        <w:rPr>
          <w:sz w:val="20"/>
        </w:rPr>
        <w:t xml:space="preserve">Соглашения и представлению отчетности, является 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органа исполнительной власти субъекта Российской Федерации</w:t>
      </w:r>
    </w:p>
    <w:p>
      <w:pPr>
        <w:pStyle w:val="1"/>
        <w:jc w:val="both"/>
      </w:pPr>
      <w:r>
        <w:rPr>
          <w:sz w:val="20"/>
        </w:rPr>
        <w:t xml:space="preserve">                           с указанием ИНН/КПП)</w:t>
      </w:r>
    </w:p>
    <w:p>
      <w:pPr>
        <w:pStyle w:val="0"/>
        <w:ind w:firstLine="540"/>
        <w:jc w:val="both"/>
      </w:pPr>
      <w:r>
        <w:rPr>
          <w:sz w:val="20"/>
        </w:rPr>
        <w:t xml:space="preserve">6.1.2. __________________________________________________.".</w:t>
      </w:r>
    </w:p>
    <w:p>
      <w:pPr>
        <w:pStyle w:val="0"/>
        <w:ind w:firstLine="540"/>
        <w:jc w:val="both"/>
      </w:pPr>
      <w:r>
        <w:rPr>
          <w:sz w:val="20"/>
        </w:rPr>
      </w:r>
    </w:p>
    <w:p>
      <w:pPr>
        <w:pStyle w:val="0"/>
        <w:ind w:firstLine="540"/>
        <w:jc w:val="both"/>
      </w:pPr>
      <w:r>
        <w:rPr>
          <w:sz w:val="20"/>
        </w:rPr>
        <w:t xml:space="preserve">1.9. В главе VII:</w:t>
      </w:r>
    </w:p>
    <w:p>
      <w:pPr>
        <w:pStyle w:val="1"/>
        <w:spacing w:before="200" w:lineRule="auto"/>
        <w:jc w:val="both"/>
      </w:pPr>
      <w:r>
        <w:rPr>
          <w:sz w:val="20"/>
        </w:rPr>
        <w:t xml:space="preserve">    1.9.1. Пункт _____ изложить в следующей редакции: "__________________".</w:t>
      </w:r>
    </w:p>
    <w:p>
      <w:pPr>
        <w:pStyle w:val="1"/>
        <w:jc w:val="both"/>
      </w:pPr>
      <w:r>
        <w:rPr>
          <w:sz w:val="20"/>
        </w:rPr>
        <w:t xml:space="preserve">                                                          (текст пункта</w:t>
      </w:r>
    </w:p>
    <w:p>
      <w:pPr>
        <w:pStyle w:val="1"/>
        <w:jc w:val="both"/>
      </w:pPr>
      <w:r>
        <w:rPr>
          <w:sz w:val="20"/>
        </w:rPr>
        <w:t xml:space="preserve">                                                        в новой редакции)</w:t>
      </w:r>
    </w:p>
    <w:p>
      <w:pPr>
        <w:pStyle w:val="0"/>
        <w:ind w:firstLine="540"/>
        <w:jc w:val="both"/>
      </w:pPr>
      <w:r>
        <w:rPr>
          <w:sz w:val="20"/>
        </w:rPr>
        <w:t xml:space="preserve">1.10. Главу VIII изложить в следующей редакции:</w:t>
      </w:r>
    </w:p>
    <w:p>
      <w:pPr>
        <w:pStyle w:val="0"/>
        <w:jc w:val="both"/>
      </w:pPr>
      <w:r>
        <w:rPr>
          <w:sz w:val="20"/>
        </w:rPr>
      </w:r>
    </w:p>
    <w:p>
      <w:pPr>
        <w:pStyle w:val="0"/>
        <w:jc w:val="center"/>
      </w:pPr>
      <w:r>
        <w:rPr>
          <w:sz w:val="20"/>
        </w:rPr>
        <w:t xml:space="preserve">"VIII. Платежные реквизиты Сторон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3"/>
        <w:gridCol w:w="4523"/>
      </w:tblGrid>
      <w:tr>
        <w:tc>
          <w:tcPr>
            <w:tcW w:w="4523" w:type="dxa"/>
          </w:tcPr>
          <w:p>
            <w:pPr>
              <w:pStyle w:val="0"/>
              <w:jc w:val="center"/>
            </w:pPr>
            <w:r>
              <w:rPr>
                <w:sz w:val="20"/>
              </w:rPr>
              <w:t xml:space="preserve">Наименование Министерства, Агентства, Службы</w:t>
            </w:r>
          </w:p>
        </w:tc>
        <w:tc>
          <w:tcPr>
            <w:tcW w:w="4523" w:type="dxa"/>
          </w:tcPr>
          <w:p>
            <w:pPr>
              <w:pStyle w:val="0"/>
              <w:jc w:val="center"/>
            </w:pPr>
            <w:r>
              <w:rPr>
                <w:sz w:val="20"/>
              </w:rPr>
              <w:t xml:space="preserve">Наименование Субъекта</w:t>
            </w:r>
          </w:p>
        </w:tc>
      </w:tr>
      <w:tr>
        <w:tc>
          <w:tcPr>
            <w:tcW w:w="4523" w:type="dxa"/>
            <w:vAlign w:val="center"/>
          </w:tcPr>
          <w:p>
            <w:pPr>
              <w:pStyle w:val="0"/>
            </w:pPr>
            <w:r>
              <w:rPr>
                <w:sz w:val="20"/>
              </w:rPr>
              <w:t xml:space="preserve">Место нахождения:</w:t>
            </w:r>
          </w:p>
        </w:tc>
        <w:tc>
          <w:tcPr>
            <w:tcW w:w="4523" w:type="dxa"/>
            <w:vAlign w:val="center"/>
          </w:tcPr>
          <w:p>
            <w:pPr>
              <w:pStyle w:val="0"/>
            </w:pPr>
            <w:r>
              <w:rPr>
                <w:sz w:val="20"/>
              </w:rPr>
              <w:t xml:space="preserve">Место нахождения:</w:t>
            </w:r>
          </w:p>
        </w:tc>
      </w:tr>
      <w:tr>
        <w:tc>
          <w:tcPr>
            <w:tcW w:w="4523" w:type="dxa"/>
            <w:vAlign w:val="bottom"/>
          </w:tcPr>
          <w:p>
            <w:pPr>
              <w:pStyle w:val="0"/>
            </w:pPr>
            <w:r>
              <w:rPr>
                <w:sz w:val="20"/>
              </w:rPr>
              <w:t xml:space="preserve">Банковские реквизиты:</w:t>
            </w:r>
          </w:p>
        </w:tc>
        <w:tc>
          <w:tcPr>
            <w:tcW w:w="4523" w:type="dxa"/>
            <w:vAlign w:val="bottom"/>
          </w:tcPr>
          <w:p>
            <w:pPr>
              <w:pStyle w:val="0"/>
            </w:pPr>
            <w:r>
              <w:rPr>
                <w:sz w:val="20"/>
              </w:rPr>
              <w:t xml:space="preserve">Банковские реквизиты:</w:t>
            </w:r>
          </w:p>
        </w:tc>
      </w:tr>
      <w:tr>
        <w:tc>
          <w:tcPr>
            <w:tcW w:w="4523" w:type="dxa"/>
          </w:tcPr>
          <w:p>
            <w:pPr>
              <w:pStyle w:val="0"/>
            </w:pPr>
            <w:r>
              <w:rPr>
                <w:sz w:val="20"/>
              </w:rPr>
              <w:t xml:space="preserve">БИК территориального органа Федерального казначейства и наименование учреждения Банка России, в котором открыт единый казначейский счет</w:t>
            </w:r>
          </w:p>
          <w:p>
            <w:pPr>
              <w:pStyle w:val="0"/>
            </w:pPr>
            <w:r>
              <w:rPr>
                <w:sz w:val="20"/>
              </w:rPr>
              <w:t xml:space="preserve">Единый казначейский счет</w:t>
            </w:r>
          </w:p>
          <w:p>
            <w:pPr>
              <w:pStyle w:val="0"/>
            </w:pPr>
            <w:r>
              <w:rPr>
                <w:sz w:val="20"/>
              </w:rPr>
              <w:t xml:space="preserve">Казначейский счет</w:t>
            </w:r>
          </w:p>
          <w:p>
            <w:pPr>
              <w:pStyle w:val="0"/>
            </w:pPr>
            <w:r>
              <w:rPr>
                <w:sz w:val="20"/>
              </w:rPr>
              <w:t xml:space="preserve">Лицевой счет</w:t>
            </w:r>
          </w:p>
          <w:p>
            <w:pPr>
              <w:pStyle w:val="0"/>
            </w:pPr>
            <w:r>
              <w:rPr>
                <w:sz w:val="20"/>
              </w:rPr>
              <w:t xml:space="preserve">Наименование территориального органа Федерального казначейства, в котором открыты казначейский и лицевой счета</w:t>
            </w:r>
          </w:p>
          <w:p>
            <w:pPr>
              <w:pStyle w:val="0"/>
            </w:pPr>
            <w:r>
              <w:rPr>
                <w:sz w:val="20"/>
              </w:rPr>
              <w:t xml:space="preserve">ИНН/КПП Министерства, Агентства, Службы</w:t>
            </w:r>
          </w:p>
          <w:p>
            <w:pPr>
              <w:pStyle w:val="0"/>
            </w:pPr>
            <w:r>
              <w:rPr>
                <w:sz w:val="20"/>
              </w:rPr>
              <w:t xml:space="preserve">ОГРН</w:t>
            </w:r>
          </w:p>
          <w:p>
            <w:pPr>
              <w:pStyle w:val="0"/>
            </w:pPr>
            <w:hyperlink w:history="0" r:id="rId8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19/2025) {КонсультантПлюс}">
              <w:r>
                <w:rPr>
                  <w:sz w:val="20"/>
                  <w:color w:val="0000ff"/>
                </w:rPr>
                <w:t xml:space="preserve">ОКТМО</w:t>
              </w:r>
            </w:hyperlink>
          </w:p>
        </w:tc>
        <w:tc>
          <w:tcPr>
            <w:tcW w:w="4523" w:type="dxa"/>
            <w:vAlign w:val="center"/>
          </w:tcPr>
          <w:p>
            <w:pPr>
              <w:pStyle w:val="0"/>
            </w:pPr>
            <w:r>
              <w:rPr>
                <w:sz w:val="20"/>
              </w:rPr>
              <w:t xml:space="preserve">БИК территориального органа Федерального казначейства и наименование учреждения Банка России, в котором открыт единый казначейский счет</w:t>
            </w:r>
          </w:p>
          <w:p>
            <w:pPr>
              <w:pStyle w:val="0"/>
            </w:pPr>
            <w:r>
              <w:rPr>
                <w:sz w:val="20"/>
              </w:rPr>
              <w:t xml:space="preserve">Единый казначейский счет</w:t>
            </w:r>
          </w:p>
          <w:p>
            <w:pPr>
              <w:pStyle w:val="0"/>
            </w:pPr>
            <w:r>
              <w:rPr>
                <w:sz w:val="20"/>
              </w:rPr>
              <w:t xml:space="preserve">Казначейский счет</w:t>
            </w:r>
          </w:p>
          <w:p>
            <w:pPr>
              <w:pStyle w:val="0"/>
            </w:pPr>
            <w:r>
              <w:rPr>
                <w:sz w:val="20"/>
              </w:rPr>
              <w:t xml:space="preserve">Лицевой счет</w:t>
            </w:r>
          </w:p>
          <w:p>
            <w:pPr>
              <w:pStyle w:val="0"/>
            </w:pPr>
            <w:r>
              <w:rPr>
                <w:sz w:val="20"/>
              </w:rPr>
              <w:t xml:space="preserve">Наименование территориального органа Федерального казначейства, в котором открыты казначейский и лицевой счета</w:t>
            </w:r>
          </w:p>
          <w:p>
            <w:pPr>
              <w:pStyle w:val="0"/>
            </w:pPr>
            <w:r>
              <w:rPr>
                <w:sz w:val="20"/>
              </w:rPr>
              <w:t xml:space="preserve">ИНН/КПП администратора доходов бюджета субъекта Российской Федерации</w:t>
            </w:r>
          </w:p>
          <w:p>
            <w:pPr>
              <w:pStyle w:val="0"/>
            </w:pPr>
            <w:r>
              <w:rPr>
                <w:sz w:val="20"/>
              </w:rPr>
              <w:t xml:space="preserve">ОГРН</w:t>
            </w:r>
          </w:p>
          <w:p>
            <w:pPr>
              <w:pStyle w:val="0"/>
            </w:pPr>
            <w:hyperlink w:history="0" r:id="rId8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19/2025) {КонсультантПлюс}">
              <w:r>
                <w:rPr>
                  <w:sz w:val="20"/>
                  <w:color w:val="0000ff"/>
                </w:rPr>
                <w:t xml:space="preserve">ОКТМО</w:t>
              </w:r>
            </w:hyperlink>
          </w:p>
          <w:p>
            <w:pPr>
              <w:pStyle w:val="0"/>
            </w:pPr>
            <w:r>
              <w:rPr>
                <w:sz w:val="20"/>
              </w:rPr>
              <w:t xml:space="preserve">Код бюджетной классификации доходов, по которому учитываются средства Иного межбюджетного трансферта, поступившего в бюджет субъекта Российской Федерации</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1.11. Приложение N ____ к Соглашению изложить в редакции согласно приложению N _____ к Дополнительному соглашению </w:t>
      </w:r>
      <w:hyperlink w:history="0" w:anchor="P2504" w:tooltip="&lt;6&gt; В заголовочной части приложений к Дополнительному соглашению к Соглашению указывается, что приложение является приложением N _____ к Дополнительному соглашению от &quot;__&quot; ______ 20__ года N ____.">
        <w:r>
          <w:rPr>
            <w:sz w:val="20"/>
            <w:color w:val="0000ff"/>
          </w:rPr>
          <w:t xml:space="preserve">&lt;6&gt;</w:t>
        </w:r>
      </w:hyperlink>
      <w:r>
        <w:rPr>
          <w:sz w:val="20"/>
        </w:rPr>
        <w:t xml:space="preserve">, которое является его неотъемлемой частью.</w:t>
      </w:r>
    </w:p>
    <w:p>
      <w:pPr>
        <w:pStyle w:val="0"/>
        <w:spacing w:before="200" w:lineRule="auto"/>
        <w:ind w:firstLine="540"/>
        <w:jc w:val="both"/>
      </w:pPr>
      <w:r>
        <w:rPr>
          <w:sz w:val="20"/>
        </w:rPr>
        <w:t xml:space="preserve">1.12. Дополнить Соглашение приложением N _____ согласно приложению N _____ к Дополнительному соглашению </w:t>
      </w:r>
      <w:hyperlink w:history="0" w:anchor="P2504" w:tooltip="&lt;6&gt; В заголовочной части приложений к Дополнительному соглашению к Соглашению указывается, что приложение является приложением N _____ к Дополнительному соглашению от &quot;__&quot; ______ 20__ года N ____.">
        <w:r>
          <w:rPr>
            <w:sz w:val="20"/>
            <w:color w:val="0000ff"/>
          </w:rPr>
          <w:t xml:space="preserve">&lt;6&gt;</w:t>
        </w:r>
      </w:hyperlink>
      <w:r>
        <w:rPr>
          <w:sz w:val="20"/>
        </w:rPr>
        <w:t xml:space="preserve">, которое является его неотъемлемой частью.</w:t>
      </w:r>
    </w:p>
    <w:p>
      <w:pPr>
        <w:pStyle w:val="0"/>
        <w:spacing w:before="200" w:lineRule="auto"/>
        <w:ind w:firstLine="540"/>
        <w:jc w:val="both"/>
      </w:pPr>
      <w:r>
        <w:rPr>
          <w:sz w:val="20"/>
        </w:rPr>
        <w:t xml:space="preserve">2. Дополнительное соглашение является неотъемлемой частью Соглашения.</w:t>
      </w:r>
    </w:p>
    <w:p>
      <w:pPr>
        <w:pStyle w:val="0"/>
        <w:spacing w:before="200" w:lineRule="auto"/>
        <w:ind w:firstLine="540"/>
        <w:jc w:val="both"/>
      </w:pPr>
      <w:r>
        <w:rPr>
          <w:sz w:val="20"/>
        </w:rPr>
        <w:t xml:space="preserve">3. Дополнительное соглашение, подписанное Сторонами, вступает в силу с даты внесения сведений о нем в реестр соглашений, ведение которого осуществляется Федеральным казначейством </w:t>
      </w:r>
      <w:hyperlink w:history="0" w:anchor="P2505" w:tooltip="&lt;7&gt; В соответствии с абзацем четырнадцатым пункта 1 статьи 166.1 Бюджетного кодекса Российской Федерации.">
        <w:r>
          <w:rPr>
            <w:sz w:val="20"/>
            <w:color w:val="0000ff"/>
          </w:rPr>
          <w:t xml:space="preserve">&lt;7&gt;</w:t>
        </w:r>
      </w:hyperlink>
      <w:r>
        <w:rPr>
          <w:sz w:val="20"/>
        </w:rPr>
        <w:t xml:space="preserve">, и действует до полного исполнения Сторонами своих обязательств по Соглашению.</w:t>
      </w:r>
    </w:p>
    <w:p>
      <w:pPr>
        <w:pStyle w:val="0"/>
        <w:spacing w:before="200" w:lineRule="auto"/>
        <w:ind w:firstLine="540"/>
        <w:jc w:val="both"/>
      </w:pPr>
      <w:r>
        <w:rPr>
          <w:sz w:val="20"/>
        </w:rPr>
        <w:t xml:space="preserve">4. Условия Соглашения, не затронутые Дополнительным соглашением, остаются неизменными.</w:t>
      </w:r>
    </w:p>
    <w:p>
      <w:pPr>
        <w:pStyle w:val="0"/>
        <w:spacing w:before="200" w:lineRule="auto"/>
        <w:ind w:firstLine="540"/>
        <w:jc w:val="both"/>
      </w:pPr>
      <w:r>
        <w:rPr>
          <w:sz w:val="20"/>
        </w:rPr>
        <w:t xml:space="preserve">5.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w:t>
      </w:r>
      <w:hyperlink w:history="0" r:id="rId84" w:tooltip="Постановление Правительства РФ от 30.06.2015 N 658 (ред. от 07.04.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постановление</w:t>
        </w:r>
      </w:hyperlink>
      <w:r>
        <w:rPr>
          <w:sz w:val="20"/>
        </w:rPr>
        <w:t xml:space="preserve"> Правительства Российской Федерации от 30.06.2015 N 658 "О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Дополнительного соглашения.</w:t>
      </w:r>
    </w:p>
    <w:p>
      <w:pPr>
        <w:pStyle w:val="0"/>
        <w:spacing w:before="200" w:lineRule="auto"/>
        <w:ind w:firstLine="540"/>
        <w:jc w:val="both"/>
      </w:pPr>
      <w:r>
        <w:rPr>
          <w:sz w:val="20"/>
        </w:rPr>
        <w:t xml:space="preserve">6. Подписи Сторон: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9"/>
        <w:gridCol w:w="4530"/>
      </w:tblGrid>
      <w:tr>
        <w:tc>
          <w:tcPr>
            <w:tcW w:w="4529" w:type="dxa"/>
            <w:vAlign w:val="center"/>
          </w:tcPr>
          <w:p>
            <w:pPr>
              <w:pStyle w:val="0"/>
              <w:jc w:val="center"/>
            </w:pPr>
            <w:r>
              <w:rPr>
                <w:sz w:val="20"/>
              </w:rPr>
              <w:t xml:space="preserve">Наименование Министерства, Агентства, Службы</w:t>
            </w:r>
          </w:p>
        </w:tc>
        <w:tc>
          <w:tcPr>
            <w:tcW w:w="4530" w:type="dxa"/>
          </w:tcPr>
          <w:p>
            <w:pPr>
              <w:pStyle w:val="0"/>
              <w:jc w:val="center"/>
            </w:pPr>
            <w:r>
              <w:rPr>
                <w:sz w:val="20"/>
              </w:rPr>
              <w:t xml:space="preserve">Наименование Субъекта</w:t>
            </w:r>
          </w:p>
        </w:tc>
      </w:tr>
      <w:tr>
        <w:tc>
          <w:tcPr>
            <w:tcW w:w="4529" w:type="dxa"/>
          </w:tcPr>
          <w:p>
            <w:pPr>
              <w:pStyle w:val="1"/>
              <w:jc w:val="both"/>
            </w:pPr>
            <w:r>
              <w:rPr>
                <w:sz w:val="20"/>
              </w:rPr>
              <w:t xml:space="preserve">  _________/___________________</w:t>
            </w:r>
          </w:p>
          <w:p>
            <w:pPr>
              <w:pStyle w:val="1"/>
              <w:jc w:val="both"/>
            </w:pPr>
            <w:r>
              <w:rPr>
                <w:sz w:val="20"/>
              </w:rPr>
              <w:t xml:space="preserve">  (подпись)        (ФИО)</w:t>
            </w:r>
          </w:p>
        </w:tc>
        <w:tc>
          <w:tcPr>
            <w:tcW w:w="4530" w:type="dxa"/>
          </w:tcPr>
          <w:p>
            <w:pPr>
              <w:pStyle w:val="1"/>
              <w:jc w:val="both"/>
            </w:pPr>
            <w:r>
              <w:rPr>
                <w:sz w:val="20"/>
              </w:rPr>
              <w:t xml:space="preserve">  _________/___________________</w:t>
            </w:r>
          </w:p>
          <w:p>
            <w:pPr>
              <w:pStyle w:val="1"/>
              <w:jc w:val="both"/>
            </w:pPr>
            <w:r>
              <w:rPr>
                <w:sz w:val="20"/>
              </w:rPr>
              <w:t xml:space="preserve">  (подпись)        (ФИО)</w:t>
            </w:r>
          </w:p>
        </w:tc>
      </w:tr>
    </w:tbl>
    <w:p>
      <w:pPr>
        <w:pStyle w:val="0"/>
        <w:jc w:val="both"/>
      </w:pPr>
      <w:r>
        <w:rPr>
          <w:sz w:val="20"/>
        </w:rPr>
      </w:r>
    </w:p>
    <w:p>
      <w:pPr>
        <w:pStyle w:val="0"/>
        <w:ind w:firstLine="540"/>
        <w:jc w:val="both"/>
      </w:pPr>
      <w:r>
        <w:rPr>
          <w:sz w:val="20"/>
        </w:rPr>
        <w:t xml:space="preserve">--------------------------------</w:t>
      </w:r>
    </w:p>
    <w:bookmarkStart w:id="2499" w:name="P2499"/>
    <w:bookmarkEnd w:id="2499"/>
    <w:p>
      <w:pPr>
        <w:pStyle w:val="0"/>
        <w:spacing w:before="200" w:lineRule="auto"/>
        <w:ind w:firstLine="540"/>
        <w:jc w:val="both"/>
      </w:pPr>
      <w:r>
        <w:rPr>
          <w:sz w:val="20"/>
        </w:rPr>
        <w:t xml:space="preserve">&lt;1&gt; Указывается соответственно Министерство (Агентство, Служба), которому(ой) как получателю средств федерального бюджета доведены лимиты бюджетных обязательств на предоставление иного межбюджетного трансферта, имеющего целевое назначение, из федерального бюджета бюджетам субъектов Российской Федерации.</w:t>
      </w:r>
    </w:p>
    <w:bookmarkStart w:id="2500" w:name="P2500"/>
    <w:bookmarkEnd w:id="2500"/>
    <w:p>
      <w:pPr>
        <w:pStyle w:val="0"/>
        <w:spacing w:before="200" w:lineRule="auto"/>
        <w:ind w:firstLine="540"/>
        <w:jc w:val="both"/>
      </w:pPr>
      <w:r>
        <w:rPr>
          <w:sz w:val="20"/>
        </w:rPr>
        <w:t xml:space="preserve">&lt;2&gt; Указывается пункт Соглашения, предусматривающий возможность изменения Соглашения по инициативе Сторон в виде Дополнительного соглашения к нему и иное основание, являющееся основанием для заключения Дополнительного соглашения.</w:t>
      </w:r>
    </w:p>
    <w:bookmarkStart w:id="2501" w:name="P2501"/>
    <w:bookmarkEnd w:id="2501"/>
    <w:p>
      <w:pPr>
        <w:pStyle w:val="0"/>
        <w:spacing w:before="200" w:lineRule="auto"/>
        <w:ind w:firstLine="540"/>
        <w:jc w:val="both"/>
      </w:pPr>
      <w:r>
        <w:rPr>
          <w:sz w:val="20"/>
        </w:rPr>
        <w:t xml:space="preserve">&lt;3&gt; 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bookmarkStart w:id="2502" w:name="P2502"/>
    <w:bookmarkEnd w:id="2502"/>
    <w:p>
      <w:pPr>
        <w:pStyle w:val="0"/>
        <w:spacing w:before="200" w:lineRule="auto"/>
        <w:ind w:firstLine="540"/>
        <w:jc w:val="both"/>
      </w:pPr>
      <w:r>
        <w:rPr>
          <w:sz w:val="20"/>
        </w:rPr>
        <w:t xml:space="preserve">&lt;4&gt; Оформляется при наличии в Соглашении </w:t>
      </w:r>
      <w:hyperlink w:history="0" w:anchor="P421" w:tooltip="VI. Иные условия &lt;51&gt;">
        <w:r>
          <w:rPr>
            <w:sz w:val="20"/>
            <w:color w:val="0000ff"/>
          </w:rPr>
          <w:t xml:space="preserve">главы VI</w:t>
        </w:r>
      </w:hyperlink>
      <w:r>
        <w:rPr>
          <w:sz w:val="20"/>
        </w:rPr>
        <w:t xml:space="preserve">.</w:t>
      </w:r>
    </w:p>
    <w:bookmarkStart w:id="2503" w:name="P2503"/>
    <w:bookmarkEnd w:id="2503"/>
    <w:p>
      <w:pPr>
        <w:pStyle w:val="0"/>
        <w:spacing w:before="200" w:lineRule="auto"/>
        <w:ind w:firstLine="540"/>
        <w:jc w:val="both"/>
      </w:pPr>
      <w:r>
        <w:rPr>
          <w:sz w:val="20"/>
        </w:rPr>
        <w:t xml:space="preserve">&lt;5&gt; Оформляется при отсутствии в Соглашении </w:t>
      </w:r>
      <w:hyperlink w:history="0" w:anchor="P421" w:tooltip="VI. Иные условия &lt;51&gt;">
        <w:r>
          <w:rPr>
            <w:sz w:val="20"/>
            <w:color w:val="0000ff"/>
          </w:rPr>
          <w:t xml:space="preserve">главы VI</w:t>
        </w:r>
      </w:hyperlink>
      <w:r>
        <w:rPr>
          <w:sz w:val="20"/>
        </w:rPr>
        <w:t xml:space="preserve">.</w:t>
      </w:r>
    </w:p>
    <w:bookmarkStart w:id="2504" w:name="P2504"/>
    <w:bookmarkEnd w:id="2504"/>
    <w:p>
      <w:pPr>
        <w:pStyle w:val="0"/>
        <w:spacing w:before="200" w:lineRule="auto"/>
        <w:ind w:firstLine="540"/>
        <w:jc w:val="both"/>
      </w:pPr>
      <w:r>
        <w:rPr>
          <w:sz w:val="20"/>
        </w:rPr>
        <w:t xml:space="preserve">&lt;6&gt; В заголовочной части приложений к Дополнительному соглашению к Соглашению указывается, что приложение является приложением N _____ к Дополнительному соглашению от "__" ______ 20__ года N ____.</w:t>
      </w:r>
    </w:p>
    <w:bookmarkStart w:id="2505" w:name="P2505"/>
    <w:bookmarkEnd w:id="2505"/>
    <w:p>
      <w:pPr>
        <w:pStyle w:val="0"/>
        <w:spacing w:before="200" w:lineRule="auto"/>
        <w:ind w:firstLine="540"/>
        <w:jc w:val="both"/>
      </w:pPr>
      <w:r>
        <w:rPr>
          <w:sz w:val="20"/>
        </w:rPr>
        <w:t xml:space="preserve">&lt;7&gt; В соответствии с </w:t>
      </w:r>
      <w:hyperlink w:history="0" r:id="rId85" w:tooltip="&quot;Бюджетный кодекс Российской Федерации&quot; от 31.07.1998 N 145-ФЗ (ред. от 31.07.2025) {КонсультантПлюс}">
        <w:r>
          <w:rPr>
            <w:sz w:val="20"/>
            <w:color w:val="0000ff"/>
          </w:rPr>
          <w:t xml:space="preserve">абзацем четырнадцатым пункта 1 статьи 166.1</w:t>
        </w:r>
      </w:hyperlink>
      <w:r>
        <w:rPr>
          <w:sz w:val="20"/>
        </w:rPr>
        <w:t xml:space="preserve"> Бюджетного кодекса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14</w:t>
      </w:r>
    </w:p>
    <w:p>
      <w:pPr>
        <w:pStyle w:val="0"/>
        <w:jc w:val="right"/>
      </w:pPr>
      <w:r>
        <w:rPr>
          <w:sz w:val="20"/>
        </w:rPr>
        <w:t xml:space="preserve">к Типовой форме соглашения</w:t>
      </w:r>
    </w:p>
    <w:p>
      <w:pPr>
        <w:pStyle w:val="0"/>
        <w:jc w:val="right"/>
      </w:pPr>
      <w:r>
        <w:rPr>
          <w:sz w:val="20"/>
        </w:rPr>
        <w:t xml:space="preserve">о предоставлении иного</w:t>
      </w:r>
    </w:p>
    <w:p>
      <w:pPr>
        <w:pStyle w:val="0"/>
        <w:jc w:val="right"/>
      </w:pPr>
      <w:r>
        <w:rPr>
          <w:sz w:val="20"/>
        </w:rPr>
        <w:t xml:space="preserve">межбюджетного трансферта,</w:t>
      </w:r>
    </w:p>
    <w:p>
      <w:pPr>
        <w:pStyle w:val="0"/>
        <w:jc w:val="right"/>
      </w:pPr>
      <w:r>
        <w:rPr>
          <w:sz w:val="20"/>
        </w:rPr>
        <w:t xml:space="preserve">имеющего целевое назначение,</w:t>
      </w:r>
    </w:p>
    <w:p>
      <w:pPr>
        <w:pStyle w:val="0"/>
        <w:jc w:val="right"/>
      </w:pPr>
      <w:r>
        <w:rPr>
          <w:sz w:val="20"/>
        </w:rPr>
        <w:t xml:space="preserve">из федерального бюджета бюджету</w:t>
      </w:r>
    </w:p>
    <w:p>
      <w:pPr>
        <w:pStyle w:val="0"/>
        <w:jc w:val="right"/>
      </w:pPr>
      <w:r>
        <w:rPr>
          <w:sz w:val="20"/>
        </w:rPr>
        <w:t xml:space="preserve">субъекта Российской Федерации,</w:t>
      </w:r>
    </w:p>
    <w:p>
      <w:pPr>
        <w:pStyle w:val="0"/>
        <w:jc w:val="right"/>
      </w:pPr>
      <w:r>
        <w:rPr>
          <w:sz w:val="20"/>
        </w:rPr>
        <w:t xml:space="preserve">утвержденной приказом</w:t>
      </w:r>
    </w:p>
    <w:p>
      <w:pPr>
        <w:pStyle w:val="0"/>
        <w:jc w:val="right"/>
      </w:pPr>
      <w:r>
        <w:rPr>
          <w:sz w:val="20"/>
        </w:rPr>
        <w:t xml:space="preserve">Министерства финансов</w:t>
      </w:r>
    </w:p>
    <w:p>
      <w:pPr>
        <w:pStyle w:val="0"/>
        <w:jc w:val="right"/>
      </w:pPr>
      <w:r>
        <w:rPr>
          <w:sz w:val="20"/>
        </w:rPr>
        <w:t xml:space="preserve">Российской Федерации</w:t>
      </w:r>
    </w:p>
    <w:p>
      <w:pPr>
        <w:pStyle w:val="0"/>
        <w:jc w:val="right"/>
      </w:pPr>
      <w:r>
        <w:rPr>
          <w:sz w:val="20"/>
        </w:rPr>
        <w:t xml:space="preserve">от 14 декабря 2018 г. N 270н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6" w:tooltip="Приказ Минфина России от 14.08.2023 N 133н &quot;О внесении изменений в Типовую форму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ую приказом Министерства финансов Российской Федерации от 14 декабря 2018 г. N 270н&quot; (Зарегистрировано в Минюсте России 15.09.2023 N 75245) {КонсультантПлюс}">
              <w:r>
                <w:rPr>
                  <w:sz w:val="20"/>
                  <w:color w:val="0000ff"/>
                </w:rPr>
                <w:t xml:space="preserve">Приказа</w:t>
              </w:r>
            </w:hyperlink>
            <w:r>
              <w:rPr>
                <w:sz w:val="20"/>
                <w:color w:val="392c69"/>
              </w:rPr>
              <w:t xml:space="preserve"> Минфина России от 14.08.2023 N 133н)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2525" w:name="P2525"/>
    <w:bookmarkEnd w:id="2525"/>
    <w:p>
      <w:pPr>
        <w:pStyle w:val="0"/>
        <w:jc w:val="center"/>
      </w:pPr>
      <w:r>
        <w:rPr>
          <w:sz w:val="20"/>
        </w:rPr>
        <w:t xml:space="preserve">Типовая форма дополнительного соглашения</w:t>
      </w:r>
    </w:p>
    <w:p>
      <w:pPr>
        <w:pStyle w:val="0"/>
        <w:jc w:val="center"/>
      </w:pPr>
      <w:r>
        <w:rPr>
          <w:sz w:val="20"/>
        </w:rPr>
        <w:t xml:space="preserve">о расторжении Соглашения о предоставлении иного</w:t>
      </w:r>
    </w:p>
    <w:p>
      <w:pPr>
        <w:pStyle w:val="0"/>
        <w:jc w:val="center"/>
      </w:pPr>
      <w:r>
        <w:rPr>
          <w:sz w:val="20"/>
        </w:rPr>
        <w:t xml:space="preserve">межбюджетного трансферта, имеющего целевое назначение,</w:t>
      </w:r>
    </w:p>
    <w:p>
      <w:pPr>
        <w:pStyle w:val="0"/>
        <w:jc w:val="center"/>
      </w:pPr>
      <w:r>
        <w:rPr>
          <w:sz w:val="20"/>
        </w:rPr>
        <w:t xml:space="preserve">из федерального бюджета бюджету субъекта</w:t>
      </w:r>
    </w:p>
    <w:p>
      <w:pPr>
        <w:pStyle w:val="0"/>
        <w:jc w:val="center"/>
      </w:pPr>
      <w:r>
        <w:rPr>
          <w:sz w:val="20"/>
        </w:rPr>
        <w:t xml:space="preserve">Российской Федерации</w:t>
      </w:r>
    </w:p>
    <w:p>
      <w:pPr>
        <w:pStyle w:val="0"/>
        <w:jc w:val="both"/>
      </w:pPr>
      <w:r>
        <w:rPr>
          <w:sz w:val="20"/>
        </w:rPr>
      </w:r>
    </w:p>
    <w:p>
      <w:pPr>
        <w:pStyle w:val="1"/>
        <w:jc w:val="both"/>
      </w:pPr>
      <w:r>
        <w:rPr>
          <w:sz w:val="20"/>
        </w:rPr>
        <w:t xml:space="preserve">"__" _________________ 20__ г.                         N __________________</w:t>
      </w:r>
    </w:p>
    <w:p>
      <w:pPr>
        <w:pStyle w:val="1"/>
        <w:jc w:val="both"/>
      </w:pPr>
      <w:r>
        <w:rPr>
          <w:sz w:val="20"/>
        </w:rPr>
        <w:t xml:space="preserve"> (дата заключения соглашения)                            (номер соглашения)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исполнительной власти)</w:t>
      </w:r>
    </w:p>
    <w:p>
      <w:pPr>
        <w:pStyle w:val="1"/>
        <w:jc w:val="both"/>
      </w:pPr>
      <w:r>
        <w:rPr>
          <w:sz w:val="20"/>
        </w:rPr>
        <w:t xml:space="preserve">которому  как  получателю  средств  федерального  бюджета  доведены  лимиты</w:t>
      </w:r>
    </w:p>
    <w:p>
      <w:pPr>
        <w:pStyle w:val="1"/>
        <w:jc w:val="both"/>
      </w:pPr>
      <w:r>
        <w:rPr>
          <w:sz w:val="20"/>
        </w:rPr>
        <w:t xml:space="preserve">бюджетных    обязательств    на    предоставление    иного    межбюджетного</w:t>
      </w:r>
    </w:p>
    <w:p>
      <w:pPr>
        <w:pStyle w:val="1"/>
        <w:jc w:val="both"/>
      </w:pPr>
      <w:r>
        <w:rPr>
          <w:sz w:val="20"/>
        </w:rPr>
        <w:t xml:space="preserve">трансферта,     имеющего    целевое    назначение,    бюджетам    субъектов</w:t>
      </w:r>
    </w:p>
    <w:p>
      <w:pPr>
        <w:pStyle w:val="1"/>
        <w:jc w:val="both"/>
      </w:pPr>
      <w:r>
        <w:rPr>
          <w:sz w:val="20"/>
        </w:rPr>
        <w:t xml:space="preserve">Российской        Федерации,        именуемое(ая)        в       дальнейшем</w:t>
      </w:r>
    </w:p>
    <w:p>
      <w:pPr>
        <w:pStyle w:val="1"/>
        <w:jc w:val="both"/>
      </w:pPr>
      <w:r>
        <w:rPr>
          <w:sz w:val="20"/>
        </w:rPr>
        <w:t xml:space="preserve">__________________________________________________________________________,</w:t>
      </w:r>
    </w:p>
    <w:p>
      <w:pPr>
        <w:pStyle w:val="1"/>
        <w:jc w:val="both"/>
      </w:pPr>
      <w:r>
        <w:rPr>
          <w:sz w:val="20"/>
        </w:rPr>
        <w:t xml:space="preserve">                     (Министерство, Агентство, Служба)</w:t>
      </w:r>
    </w:p>
    <w:p>
      <w:pPr>
        <w:pStyle w:val="1"/>
        <w:jc w:val="both"/>
      </w:pPr>
      <w:r>
        <w:rPr>
          <w:sz w:val="20"/>
        </w:rPr>
        <w:t xml:space="preserve">в лице ____________________________________________________________________</w:t>
      </w:r>
    </w:p>
    <w:p>
      <w:pPr>
        <w:pStyle w:val="1"/>
        <w:jc w:val="both"/>
      </w:pPr>
      <w:r>
        <w:rPr>
          <w:sz w:val="20"/>
        </w:rPr>
        <w:t xml:space="preserve">            (наименование должности руководителя федерального органа</w:t>
      </w:r>
    </w:p>
    <w:p>
      <w:pPr>
        <w:pStyle w:val="1"/>
        <w:jc w:val="both"/>
      </w:pPr>
      <w:r>
        <w:rPr>
          <w:sz w:val="20"/>
        </w:rPr>
        <w:t xml:space="preserve">               исполнительной власти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действующего(ей) на основании ____________________________________________,</w:t>
      </w:r>
    </w:p>
    <w:p>
      <w:pPr>
        <w:pStyle w:val="1"/>
        <w:jc w:val="both"/>
      </w:pPr>
      <w:r>
        <w:rPr>
          <w:sz w:val="20"/>
        </w:rPr>
        <w:t xml:space="preserve">                                    (положение о федеральном органе</w:t>
      </w:r>
    </w:p>
    <w:p>
      <w:pPr>
        <w:pStyle w:val="1"/>
        <w:jc w:val="both"/>
      </w:pPr>
      <w:r>
        <w:rPr>
          <w:sz w:val="20"/>
        </w:rPr>
        <w:t xml:space="preserve">                              исполнительной власти, доверенность, приказ</w:t>
      </w:r>
    </w:p>
    <w:p>
      <w:pPr>
        <w:pStyle w:val="1"/>
        <w:jc w:val="both"/>
      </w:pPr>
      <w:r>
        <w:rPr>
          <w:sz w:val="20"/>
        </w:rPr>
        <w:t xml:space="preserve">                                   или иной документ, удостоверяющий</w:t>
      </w:r>
    </w:p>
    <w:p>
      <w:pPr>
        <w:pStyle w:val="1"/>
        <w:jc w:val="both"/>
      </w:pPr>
      <w:r>
        <w:rPr>
          <w:sz w:val="20"/>
        </w:rPr>
        <w:t xml:space="preserve">                                              полномочия)</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высшего исполнительного органа</w:t>
      </w:r>
    </w:p>
    <w:p>
      <w:pPr>
        <w:pStyle w:val="1"/>
        <w:jc w:val="both"/>
      </w:pPr>
      <w:r>
        <w:rPr>
          <w:sz w:val="20"/>
        </w:rPr>
        <w:t xml:space="preserve">                               субъекта Российской Федерации)</w:t>
      </w:r>
    </w:p>
    <w:p>
      <w:pPr>
        <w:pStyle w:val="1"/>
        <w:jc w:val="both"/>
      </w:pPr>
      <w:r>
        <w:rPr>
          <w:sz w:val="20"/>
        </w:rPr>
        <w:t xml:space="preserve">именуемое(ая)        в       дальнейшем       "Субъект",       в       лице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руководителя высшего исполнительного органа</w:t>
      </w:r>
    </w:p>
    <w:p>
      <w:pPr>
        <w:pStyle w:val="1"/>
        <w:jc w:val="both"/>
      </w:pPr>
      <w:r>
        <w:rPr>
          <w:sz w:val="20"/>
        </w:rPr>
        <w:t xml:space="preserve">        субъекта Российской Федерации или уполномоченного им лица)</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действующего(ей) на основании ____________________________________________,</w:t>
      </w:r>
    </w:p>
    <w:p>
      <w:pPr>
        <w:pStyle w:val="1"/>
        <w:jc w:val="both"/>
      </w:pPr>
      <w:r>
        <w:rPr>
          <w:sz w:val="20"/>
        </w:rPr>
        <w:t xml:space="preserve">                              (устав, закон субъекта Российской Федерации,</w:t>
      </w:r>
    </w:p>
    <w:p>
      <w:pPr>
        <w:pStyle w:val="1"/>
        <w:jc w:val="both"/>
      </w:pPr>
      <w:r>
        <w:rPr>
          <w:sz w:val="20"/>
        </w:rPr>
        <w:t xml:space="preserve">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с  другой  стороны,  далее при совместном упоминании именуемые "Стороны", в</w:t>
      </w:r>
    </w:p>
    <w:p>
      <w:pPr>
        <w:pStyle w:val="1"/>
        <w:jc w:val="both"/>
      </w:pPr>
      <w:r>
        <w:rPr>
          <w:sz w:val="20"/>
        </w:rPr>
        <w:t xml:space="preserve">соответствии с ____________________________________________________________</w:t>
      </w:r>
    </w:p>
    <w:p>
      <w:pPr>
        <w:pStyle w:val="1"/>
        <w:jc w:val="both"/>
      </w:pPr>
      <w:r>
        <w:rPr>
          <w:sz w:val="20"/>
        </w:rPr>
        <w:t xml:space="preserve">                  (документ, предусматривающий основание для расторжения</w:t>
      </w:r>
    </w:p>
    <w:p>
      <w:pPr>
        <w:pStyle w:val="1"/>
        <w:jc w:val="both"/>
      </w:pPr>
      <w:r>
        <w:rPr>
          <w:sz w:val="20"/>
        </w:rPr>
        <w:t xml:space="preserve">                    Соглашения (при наличии) или </w:t>
      </w:r>
      <w:hyperlink w:history="0" w:anchor="P457" w:tooltip="7.6. Расторжение настоящего Соглашения возможно при взаимном согласии Сторон &lt;57&gt;.">
        <w:r>
          <w:rPr>
            <w:sz w:val="20"/>
            <w:color w:val="0000ff"/>
          </w:rPr>
          <w:t xml:space="preserve">пункт 7.6</w:t>
        </w:r>
      </w:hyperlink>
      <w:r>
        <w:rPr>
          <w:sz w:val="20"/>
        </w:rPr>
        <w:t xml:space="preserve"> Соглашения)</w:t>
      </w:r>
    </w:p>
    <w:p>
      <w:pPr>
        <w:pStyle w:val="1"/>
        <w:jc w:val="both"/>
      </w:pPr>
      <w:r>
        <w:rPr>
          <w:sz w:val="20"/>
        </w:rPr>
        <w:t xml:space="preserve">заключили  настоящее  Дополнительное  соглашение о расторжении Соглашения о</w:t>
      </w:r>
    </w:p>
    <w:p>
      <w:pPr>
        <w:pStyle w:val="1"/>
        <w:jc w:val="both"/>
      </w:pPr>
      <w:r>
        <w:rPr>
          <w:sz w:val="20"/>
        </w:rPr>
        <w:t xml:space="preserve">предоставлении иного межбюджетного трансферта, имеющего целевое назначение,</w:t>
      </w:r>
    </w:p>
    <w:p>
      <w:pPr>
        <w:pStyle w:val="1"/>
        <w:jc w:val="both"/>
      </w:pPr>
      <w:r>
        <w:rPr>
          <w:sz w:val="20"/>
        </w:rPr>
        <w:t xml:space="preserve">из  федерального  бюджета  бюджету  субъекта  Российской  Федерации от "__"</w:t>
      </w:r>
    </w:p>
    <w:p>
      <w:pPr>
        <w:pStyle w:val="1"/>
        <w:jc w:val="both"/>
      </w:pPr>
      <w:r>
        <w:rPr>
          <w:sz w:val="20"/>
        </w:rPr>
        <w:t xml:space="preserve">_______ 20__ г. N ______ (далее соответственно - Дополнительное соглашение,</w:t>
      </w:r>
    </w:p>
    <w:p>
      <w:pPr>
        <w:pStyle w:val="1"/>
        <w:jc w:val="both"/>
      </w:pPr>
      <w:r>
        <w:rPr>
          <w:sz w:val="20"/>
        </w:rPr>
        <w:t xml:space="preserve">Соглашение, Иной межбюджетный трансферт).</w:t>
      </w:r>
    </w:p>
    <w:p>
      <w:pPr>
        <w:pStyle w:val="0"/>
        <w:ind w:firstLine="540"/>
        <w:jc w:val="both"/>
      </w:pPr>
      <w:r>
        <w:rPr>
          <w:sz w:val="20"/>
        </w:rPr>
        <w:t xml:space="preserve">1. Соглашение расторгается с момента вступления в силу Дополнительного соглашения.</w:t>
      </w:r>
    </w:p>
    <w:p>
      <w:pPr>
        <w:pStyle w:val="0"/>
        <w:spacing w:before="200" w:lineRule="auto"/>
        <w:ind w:firstLine="540"/>
        <w:jc w:val="both"/>
      </w:pPr>
      <w:r>
        <w:rPr>
          <w:sz w:val="20"/>
        </w:rPr>
        <w:t xml:space="preserve">2. Дополнительное соглашение вступает в силу с даты внесения сведений о нем в реестр соглашений, ведение которого осуществляется Федеральным казначейством </w:t>
      </w:r>
      <w:hyperlink w:history="0" w:anchor="P2617" w:tooltip="&lt;1&gt; В соответствии с абзацем четырнадцатым пункта 1 статьи 166.1 Бюджетного кодекса Российской Федерации.">
        <w:r>
          <w:rPr>
            <w:sz w:val="20"/>
            <w:color w:val="0000ff"/>
          </w:rPr>
          <w:t xml:space="preserve">&lt;1&gt;</w:t>
        </w:r>
      </w:hyperlink>
      <w:r>
        <w:rPr>
          <w:sz w:val="20"/>
        </w:rPr>
        <w:t xml:space="preserve">.</w:t>
      </w:r>
    </w:p>
    <w:p>
      <w:pPr>
        <w:pStyle w:val="0"/>
        <w:spacing w:before="200" w:lineRule="auto"/>
        <w:ind w:firstLine="540"/>
        <w:jc w:val="both"/>
      </w:pPr>
      <w:r>
        <w:rPr>
          <w:sz w:val="20"/>
        </w:rPr>
        <w:t xml:space="preserve">3. Обязательства Сторон по Соглашению прекращаются с момента вступления в силу Дополнительного соглашения, за исключением обязательств, предусмотренных пунктами ________ Соглашения </w:t>
      </w:r>
      <w:hyperlink w:history="0" w:anchor="P2618" w:tooltip="&lt;2&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ставлении отчетности).">
        <w:r>
          <w:rPr>
            <w:sz w:val="20"/>
            <w:color w:val="0000ff"/>
          </w:rPr>
          <w:t xml:space="preserve">&lt;2&gt;</w:t>
        </w:r>
      </w:hyperlink>
      <w:r>
        <w:rPr>
          <w:sz w:val="20"/>
        </w:rPr>
        <w:t xml:space="preserve">, которые прекращают свое действие после полного их исполнения.</w:t>
      </w:r>
    </w:p>
    <w:p>
      <w:pPr>
        <w:pStyle w:val="0"/>
        <w:spacing w:before="200" w:lineRule="auto"/>
        <w:ind w:firstLine="540"/>
        <w:jc w:val="both"/>
      </w:pPr>
      <w:r>
        <w:rPr>
          <w:sz w:val="20"/>
        </w:rPr>
        <w:t xml:space="preserve">4. Иные положения Дополнительного соглашения:</w:t>
      </w:r>
    </w:p>
    <w:p>
      <w:pPr>
        <w:pStyle w:val="0"/>
        <w:spacing w:before="200" w:lineRule="auto"/>
        <w:ind w:firstLine="540"/>
        <w:jc w:val="both"/>
      </w:pPr>
      <w:r>
        <w:rPr>
          <w:sz w:val="20"/>
        </w:rPr>
        <w:t xml:space="preserve">4.1. _______________________________________________________</w:t>
      </w:r>
    </w:p>
    <w:p>
      <w:pPr>
        <w:pStyle w:val="0"/>
        <w:spacing w:before="200" w:lineRule="auto"/>
        <w:ind w:firstLine="540"/>
        <w:jc w:val="both"/>
      </w:pPr>
      <w:r>
        <w:rPr>
          <w:sz w:val="20"/>
        </w:rPr>
        <w:t xml:space="preserve">4.2. ______________________________________________________.</w:t>
      </w:r>
    </w:p>
    <w:p>
      <w:pPr>
        <w:pStyle w:val="0"/>
        <w:spacing w:before="200" w:lineRule="auto"/>
        <w:ind w:firstLine="540"/>
        <w:jc w:val="both"/>
      </w:pPr>
      <w:r>
        <w:rPr>
          <w:sz w:val="20"/>
        </w:rPr>
        <w:t xml:space="preserve">5.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w:t>
      </w:r>
      <w:hyperlink w:history="0" r:id="rId87" w:tooltip="Постановление Правительства РФ от 30.06.2015 N 658 (ред. от 07.04.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постановление</w:t>
        </w:r>
      </w:hyperlink>
      <w:r>
        <w:rPr>
          <w:sz w:val="20"/>
        </w:rPr>
        <w:t xml:space="preserve"> Правительства Российской Федерации от 30.06.2015 N 658 "О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Дополнительного соглашения.</w:t>
      </w:r>
    </w:p>
    <w:p>
      <w:pPr>
        <w:pStyle w:val="0"/>
        <w:spacing w:before="200" w:lineRule="auto"/>
        <w:ind w:firstLine="540"/>
        <w:jc w:val="both"/>
      </w:pPr>
      <w:r>
        <w:rPr>
          <w:sz w:val="20"/>
        </w:rPr>
        <w:t xml:space="preserve">6. Платежные реквизиты Сторон: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3"/>
        <w:gridCol w:w="4523"/>
      </w:tblGrid>
      <w:tr>
        <w:tc>
          <w:tcPr>
            <w:tcW w:w="4523" w:type="dxa"/>
          </w:tcPr>
          <w:p>
            <w:pPr>
              <w:pStyle w:val="0"/>
              <w:jc w:val="center"/>
            </w:pPr>
            <w:r>
              <w:rPr>
                <w:sz w:val="20"/>
              </w:rPr>
              <w:t xml:space="preserve">Наименование Министерства, Агентства, Службы</w:t>
            </w:r>
          </w:p>
        </w:tc>
        <w:tc>
          <w:tcPr>
            <w:tcW w:w="4523" w:type="dxa"/>
          </w:tcPr>
          <w:p>
            <w:pPr>
              <w:pStyle w:val="0"/>
              <w:jc w:val="center"/>
            </w:pPr>
            <w:r>
              <w:rPr>
                <w:sz w:val="20"/>
              </w:rPr>
              <w:t xml:space="preserve">Наименование Субъекта</w:t>
            </w:r>
          </w:p>
        </w:tc>
      </w:tr>
      <w:tr>
        <w:tc>
          <w:tcPr>
            <w:tcW w:w="4523" w:type="dxa"/>
            <w:vAlign w:val="center"/>
          </w:tcPr>
          <w:p>
            <w:pPr>
              <w:pStyle w:val="0"/>
            </w:pPr>
            <w:r>
              <w:rPr>
                <w:sz w:val="20"/>
              </w:rPr>
              <w:t xml:space="preserve">Место нахождения:</w:t>
            </w:r>
          </w:p>
        </w:tc>
        <w:tc>
          <w:tcPr>
            <w:tcW w:w="4523" w:type="dxa"/>
            <w:vAlign w:val="center"/>
          </w:tcPr>
          <w:p>
            <w:pPr>
              <w:pStyle w:val="0"/>
            </w:pPr>
            <w:r>
              <w:rPr>
                <w:sz w:val="20"/>
              </w:rPr>
              <w:t xml:space="preserve">Место нахождения:</w:t>
            </w:r>
          </w:p>
        </w:tc>
      </w:tr>
      <w:tr>
        <w:tc>
          <w:tcPr>
            <w:tcW w:w="4523" w:type="dxa"/>
            <w:vAlign w:val="bottom"/>
          </w:tcPr>
          <w:p>
            <w:pPr>
              <w:pStyle w:val="0"/>
            </w:pPr>
            <w:r>
              <w:rPr>
                <w:sz w:val="20"/>
              </w:rPr>
              <w:t xml:space="preserve">Банковские реквизиты:</w:t>
            </w:r>
          </w:p>
        </w:tc>
        <w:tc>
          <w:tcPr>
            <w:tcW w:w="4523" w:type="dxa"/>
            <w:vAlign w:val="bottom"/>
          </w:tcPr>
          <w:p>
            <w:pPr>
              <w:pStyle w:val="0"/>
            </w:pPr>
            <w:r>
              <w:rPr>
                <w:sz w:val="20"/>
              </w:rPr>
              <w:t xml:space="preserve">Банковские реквизиты:</w:t>
            </w:r>
          </w:p>
        </w:tc>
      </w:tr>
      <w:tr>
        <w:tc>
          <w:tcPr>
            <w:tcW w:w="4523" w:type="dxa"/>
          </w:tcPr>
          <w:p>
            <w:pPr>
              <w:pStyle w:val="0"/>
            </w:pPr>
            <w:r>
              <w:rPr>
                <w:sz w:val="20"/>
              </w:rPr>
              <w:t xml:space="preserve">БИК территориального органа Федерального казначейства и наименование учреждения Банка России, в котором открыт единый казначейский счет</w:t>
            </w:r>
          </w:p>
          <w:p>
            <w:pPr>
              <w:pStyle w:val="0"/>
            </w:pPr>
            <w:r>
              <w:rPr>
                <w:sz w:val="20"/>
              </w:rPr>
              <w:t xml:space="preserve">Единый казначейский счет</w:t>
            </w:r>
          </w:p>
          <w:p>
            <w:pPr>
              <w:pStyle w:val="0"/>
            </w:pPr>
            <w:r>
              <w:rPr>
                <w:sz w:val="20"/>
              </w:rPr>
              <w:t xml:space="preserve">Казначейский счет</w:t>
            </w:r>
          </w:p>
          <w:p>
            <w:pPr>
              <w:pStyle w:val="0"/>
            </w:pPr>
            <w:r>
              <w:rPr>
                <w:sz w:val="20"/>
              </w:rPr>
              <w:t xml:space="preserve">Лицевой счет</w:t>
            </w:r>
          </w:p>
          <w:p>
            <w:pPr>
              <w:pStyle w:val="0"/>
            </w:pPr>
            <w:r>
              <w:rPr>
                <w:sz w:val="20"/>
              </w:rPr>
              <w:t xml:space="preserve">Наименование территориального органа Федерального казначейства, в котором открыты казначейский и лицевой счета</w:t>
            </w:r>
          </w:p>
          <w:p>
            <w:pPr>
              <w:pStyle w:val="0"/>
            </w:pPr>
            <w:r>
              <w:rPr>
                <w:sz w:val="20"/>
              </w:rPr>
              <w:t xml:space="preserve">ИНН/КПП Министерства, Агентства, Службы</w:t>
            </w:r>
          </w:p>
          <w:p>
            <w:pPr>
              <w:pStyle w:val="0"/>
            </w:pPr>
            <w:r>
              <w:rPr>
                <w:sz w:val="20"/>
              </w:rPr>
              <w:t xml:space="preserve">ОГРН</w:t>
            </w:r>
          </w:p>
          <w:p>
            <w:pPr>
              <w:pStyle w:val="0"/>
            </w:pPr>
            <w:hyperlink w:history="0" r:id="rId8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19/2025) {КонсультантПлюс}">
              <w:r>
                <w:rPr>
                  <w:sz w:val="20"/>
                  <w:color w:val="0000ff"/>
                </w:rPr>
                <w:t xml:space="preserve">ОКТМО</w:t>
              </w:r>
            </w:hyperlink>
          </w:p>
        </w:tc>
        <w:tc>
          <w:tcPr>
            <w:tcW w:w="4523" w:type="dxa"/>
            <w:vAlign w:val="center"/>
          </w:tcPr>
          <w:p>
            <w:pPr>
              <w:pStyle w:val="0"/>
            </w:pPr>
            <w:r>
              <w:rPr>
                <w:sz w:val="20"/>
              </w:rPr>
              <w:t xml:space="preserve">БИК территориального органа Федерального казначейства и наименование учреждения Банка России, в котором открыт единый казначейский счет</w:t>
            </w:r>
          </w:p>
          <w:p>
            <w:pPr>
              <w:pStyle w:val="0"/>
            </w:pPr>
            <w:r>
              <w:rPr>
                <w:sz w:val="20"/>
              </w:rPr>
              <w:t xml:space="preserve">Единый казначейский счет</w:t>
            </w:r>
          </w:p>
          <w:p>
            <w:pPr>
              <w:pStyle w:val="0"/>
            </w:pPr>
            <w:r>
              <w:rPr>
                <w:sz w:val="20"/>
              </w:rPr>
              <w:t xml:space="preserve">Казначейский счет</w:t>
            </w:r>
          </w:p>
          <w:p>
            <w:pPr>
              <w:pStyle w:val="0"/>
            </w:pPr>
            <w:r>
              <w:rPr>
                <w:sz w:val="20"/>
              </w:rPr>
              <w:t xml:space="preserve">Лицевой счет</w:t>
            </w:r>
          </w:p>
          <w:p>
            <w:pPr>
              <w:pStyle w:val="0"/>
            </w:pPr>
            <w:r>
              <w:rPr>
                <w:sz w:val="20"/>
              </w:rPr>
              <w:t xml:space="preserve">Наименование территориального органа Федерального казначейства, в котором открыты казначейский и лицевой счета</w:t>
            </w:r>
          </w:p>
          <w:p>
            <w:pPr>
              <w:pStyle w:val="0"/>
            </w:pPr>
            <w:r>
              <w:rPr>
                <w:sz w:val="20"/>
              </w:rPr>
              <w:t xml:space="preserve">ИНН/КПП администратора доходов бюджета субъекта Российской Федерации</w:t>
            </w:r>
          </w:p>
          <w:p>
            <w:pPr>
              <w:pStyle w:val="0"/>
            </w:pPr>
            <w:r>
              <w:rPr>
                <w:sz w:val="20"/>
              </w:rPr>
              <w:t xml:space="preserve">ОГРН</w:t>
            </w:r>
          </w:p>
          <w:p>
            <w:pPr>
              <w:pStyle w:val="0"/>
            </w:pPr>
            <w:hyperlink w:history="0" r:id="rId8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19/2025) {КонсультантПлюс}">
              <w:r>
                <w:rPr>
                  <w:sz w:val="20"/>
                  <w:color w:val="0000ff"/>
                </w:rPr>
                <w:t xml:space="preserve">ОКТМО</w:t>
              </w:r>
            </w:hyperlink>
          </w:p>
          <w:p>
            <w:pPr>
              <w:pStyle w:val="0"/>
            </w:pPr>
            <w:r>
              <w:rPr>
                <w:sz w:val="20"/>
              </w:rPr>
              <w:t xml:space="preserve">Код бюджетной классификации доходов, по которому учитываются средства Иного межбюджетного трансферта, поступившего в бюджет субъекта Российской Федерации:</w:t>
            </w:r>
          </w:p>
        </w:tc>
      </w:tr>
    </w:tbl>
    <w:p>
      <w:pPr>
        <w:pStyle w:val="0"/>
        <w:jc w:val="both"/>
      </w:pPr>
      <w:r>
        <w:rPr>
          <w:sz w:val="20"/>
        </w:rPr>
      </w:r>
    </w:p>
    <w:p>
      <w:pPr>
        <w:pStyle w:val="0"/>
        <w:ind w:firstLine="540"/>
        <w:jc w:val="both"/>
      </w:pPr>
      <w:r>
        <w:rPr>
          <w:sz w:val="20"/>
        </w:rPr>
        <w:t xml:space="preserve">7. Подписи Сторон: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9"/>
        <w:gridCol w:w="4530"/>
      </w:tblGrid>
      <w:tr>
        <w:tc>
          <w:tcPr>
            <w:tcW w:w="4529" w:type="dxa"/>
            <w:vAlign w:val="center"/>
          </w:tcPr>
          <w:p>
            <w:pPr>
              <w:pStyle w:val="0"/>
              <w:jc w:val="center"/>
            </w:pPr>
            <w:r>
              <w:rPr>
                <w:sz w:val="20"/>
              </w:rPr>
              <w:t xml:space="preserve">Наименование Министерства, Агентства, Службы</w:t>
            </w:r>
          </w:p>
        </w:tc>
        <w:tc>
          <w:tcPr>
            <w:tcW w:w="4530" w:type="dxa"/>
          </w:tcPr>
          <w:p>
            <w:pPr>
              <w:pStyle w:val="0"/>
              <w:jc w:val="center"/>
            </w:pPr>
            <w:r>
              <w:rPr>
                <w:sz w:val="20"/>
              </w:rPr>
              <w:t xml:space="preserve">Наименование Субъекта</w:t>
            </w:r>
          </w:p>
        </w:tc>
      </w:tr>
      <w:tr>
        <w:tc>
          <w:tcPr>
            <w:tcW w:w="4529" w:type="dxa"/>
          </w:tcPr>
          <w:p>
            <w:pPr>
              <w:pStyle w:val="1"/>
              <w:jc w:val="both"/>
            </w:pPr>
            <w:r>
              <w:rPr>
                <w:sz w:val="20"/>
              </w:rPr>
              <w:t xml:space="preserve">  _________/___________________</w:t>
            </w:r>
          </w:p>
          <w:p>
            <w:pPr>
              <w:pStyle w:val="1"/>
              <w:jc w:val="both"/>
            </w:pPr>
            <w:r>
              <w:rPr>
                <w:sz w:val="20"/>
              </w:rPr>
              <w:t xml:space="preserve">  (подпись)        (ФИО)</w:t>
            </w:r>
          </w:p>
        </w:tc>
        <w:tc>
          <w:tcPr>
            <w:tcW w:w="4530" w:type="dxa"/>
          </w:tcPr>
          <w:p>
            <w:pPr>
              <w:pStyle w:val="1"/>
              <w:jc w:val="both"/>
            </w:pPr>
            <w:r>
              <w:rPr>
                <w:sz w:val="20"/>
              </w:rPr>
              <w:t xml:space="preserve">  _________/___________________</w:t>
            </w:r>
          </w:p>
          <w:p>
            <w:pPr>
              <w:pStyle w:val="1"/>
              <w:jc w:val="both"/>
            </w:pPr>
            <w:r>
              <w:rPr>
                <w:sz w:val="20"/>
              </w:rPr>
              <w:t xml:space="preserve">  (подпись)        (ФИО)</w:t>
            </w:r>
          </w:p>
        </w:tc>
      </w:tr>
    </w:tbl>
    <w:p>
      <w:pPr>
        <w:pStyle w:val="0"/>
        <w:jc w:val="both"/>
      </w:pPr>
      <w:r>
        <w:rPr>
          <w:sz w:val="20"/>
        </w:rPr>
      </w:r>
    </w:p>
    <w:p>
      <w:pPr>
        <w:pStyle w:val="0"/>
        <w:ind w:firstLine="540"/>
        <w:jc w:val="both"/>
      </w:pPr>
      <w:r>
        <w:rPr>
          <w:sz w:val="20"/>
        </w:rPr>
        <w:t xml:space="preserve">--------------------------------</w:t>
      </w:r>
    </w:p>
    <w:bookmarkStart w:id="2617" w:name="P2617"/>
    <w:bookmarkEnd w:id="2617"/>
    <w:p>
      <w:pPr>
        <w:pStyle w:val="0"/>
        <w:spacing w:before="200" w:lineRule="auto"/>
        <w:ind w:firstLine="540"/>
        <w:jc w:val="both"/>
      </w:pPr>
      <w:r>
        <w:rPr>
          <w:sz w:val="20"/>
        </w:rPr>
        <w:t xml:space="preserve">&lt;1&gt; В соответствии с </w:t>
      </w:r>
      <w:hyperlink w:history="0" r:id="rId90" w:tooltip="&quot;Бюджетный кодекс Российской Федерации&quot; от 31.07.1998 N 145-ФЗ (ред. от 31.07.2025) {КонсультантПлюс}">
        <w:r>
          <w:rPr>
            <w:sz w:val="20"/>
            <w:color w:val="0000ff"/>
          </w:rPr>
          <w:t xml:space="preserve">абзацем четырнадцатым пункта 1 статьи 166.1</w:t>
        </w:r>
      </w:hyperlink>
      <w:r>
        <w:rPr>
          <w:sz w:val="20"/>
        </w:rPr>
        <w:t xml:space="preserve"> Бюджетного кодекса Российской Федерации.</w:t>
      </w:r>
    </w:p>
    <w:bookmarkStart w:id="2618" w:name="P2618"/>
    <w:bookmarkEnd w:id="2618"/>
    <w:p>
      <w:pPr>
        <w:pStyle w:val="0"/>
        <w:spacing w:before="200" w:lineRule="auto"/>
        <w:ind w:firstLine="540"/>
        <w:jc w:val="both"/>
      </w:pPr>
      <w:r>
        <w:rPr>
          <w:sz w:val="20"/>
        </w:rPr>
        <w:t xml:space="preserve">&lt;2&gt;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представлении отчетности).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Минфина России от 14.12.2018 N 270н</w:t>
            <w:br/>
            <w:t>(ред. от 18.02.2025)</w:t>
            <w:br/>
            <w:t>"Об утверждении Типовой формы соглашения о предоставлени...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Минфина России от 14.12.2018 N 270н</w:t>
            <w:br/>
            <w:t>(ред. от 18.02.2025)</w:t>
            <w:br/>
            <w:t>"Об утверждении Типовой формы соглашения о предоставлени...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38502&amp;dst=100006" TargetMode = "External"/><Relationship Id="rId9" Type="http://schemas.openxmlformats.org/officeDocument/2006/relationships/hyperlink" Target="https://login.consultant.ru/link/?req=doc&amp;base=LAW&amp;n=360156&amp;dst=100006" TargetMode = "External"/><Relationship Id="rId10" Type="http://schemas.openxmlformats.org/officeDocument/2006/relationships/hyperlink" Target="https://login.consultant.ru/link/?req=doc&amp;base=LAW&amp;n=377580&amp;dst=100006" TargetMode = "External"/><Relationship Id="rId11" Type="http://schemas.openxmlformats.org/officeDocument/2006/relationships/hyperlink" Target="https://login.consultant.ru/link/?req=doc&amp;base=LAW&amp;n=387829&amp;dst=100010" TargetMode = "External"/><Relationship Id="rId12" Type="http://schemas.openxmlformats.org/officeDocument/2006/relationships/hyperlink" Target="https://login.consultant.ru/link/?req=doc&amp;base=LAW&amp;n=409237&amp;dst=100010" TargetMode = "External"/><Relationship Id="rId13" Type="http://schemas.openxmlformats.org/officeDocument/2006/relationships/hyperlink" Target="https://login.consultant.ru/link/?req=doc&amp;base=LAW&amp;n=426798&amp;dst=100006" TargetMode = "External"/><Relationship Id="rId14" Type="http://schemas.openxmlformats.org/officeDocument/2006/relationships/hyperlink" Target="https://login.consultant.ru/link/?req=doc&amp;base=LAW&amp;n=457391&amp;dst=100006" TargetMode = "External"/><Relationship Id="rId15" Type="http://schemas.openxmlformats.org/officeDocument/2006/relationships/hyperlink" Target="https://login.consultant.ru/link/?req=doc&amp;base=LAW&amp;n=464867&amp;dst=100010" TargetMode = "External"/><Relationship Id="rId16" Type="http://schemas.openxmlformats.org/officeDocument/2006/relationships/hyperlink" Target="https://login.consultant.ru/link/?req=doc&amp;base=LAW&amp;n=501172&amp;dst=100010" TargetMode = "External"/><Relationship Id="rId17" Type="http://schemas.openxmlformats.org/officeDocument/2006/relationships/hyperlink" Target="https://login.consultant.ru/link/?req=doc&amp;base=LAW&amp;n=511241&amp;dst=4801" TargetMode = "External"/><Relationship Id="rId18" Type="http://schemas.openxmlformats.org/officeDocument/2006/relationships/hyperlink" Target="http://www.pravo.gov.ru" TargetMode = "External"/><Relationship Id="rId19" Type="http://schemas.openxmlformats.org/officeDocument/2006/relationships/hyperlink" Target="https://login.consultant.ru/link/?req=doc&amp;base=LAW&amp;n=338502&amp;dst=100006" TargetMode = "External"/><Relationship Id="rId20" Type="http://schemas.openxmlformats.org/officeDocument/2006/relationships/hyperlink" Target="https://login.consultant.ru/link/?req=doc&amp;base=LAW&amp;n=360156&amp;dst=100006" TargetMode = "External"/><Relationship Id="rId21" Type="http://schemas.openxmlformats.org/officeDocument/2006/relationships/hyperlink" Target="https://login.consultant.ru/link/?req=doc&amp;base=LAW&amp;n=377580&amp;dst=100006" TargetMode = "External"/><Relationship Id="rId22" Type="http://schemas.openxmlformats.org/officeDocument/2006/relationships/hyperlink" Target="https://login.consultant.ru/link/?req=doc&amp;base=LAW&amp;n=387829&amp;dst=100010" TargetMode = "External"/><Relationship Id="rId23" Type="http://schemas.openxmlformats.org/officeDocument/2006/relationships/hyperlink" Target="https://login.consultant.ru/link/?req=doc&amp;base=LAW&amp;n=409237&amp;dst=100010" TargetMode = "External"/><Relationship Id="rId24" Type="http://schemas.openxmlformats.org/officeDocument/2006/relationships/hyperlink" Target="https://login.consultant.ru/link/?req=doc&amp;base=LAW&amp;n=426798&amp;dst=100006" TargetMode = "External"/><Relationship Id="rId25" Type="http://schemas.openxmlformats.org/officeDocument/2006/relationships/hyperlink" Target="https://login.consultant.ru/link/?req=doc&amp;base=LAW&amp;n=457391&amp;dst=100006" TargetMode = "External"/><Relationship Id="rId26" Type="http://schemas.openxmlformats.org/officeDocument/2006/relationships/hyperlink" Target="https://login.consultant.ru/link/?req=doc&amp;base=LAW&amp;n=464867&amp;dst=100010" TargetMode = "External"/><Relationship Id="rId27" Type="http://schemas.openxmlformats.org/officeDocument/2006/relationships/hyperlink" Target="https://login.consultant.ru/link/?req=doc&amp;base=LAW&amp;n=501172&amp;dst=100010" TargetMode = "External"/><Relationship Id="rId28" Type="http://schemas.openxmlformats.org/officeDocument/2006/relationships/hyperlink" Target="https://login.consultant.ru/link/?req=doc&amp;base=LAW&amp;n=329093&amp;dst=100010" TargetMode = "External"/><Relationship Id="rId29" Type="http://schemas.openxmlformats.org/officeDocument/2006/relationships/hyperlink" Target="https://login.consultant.ru/link/?req=doc&amp;base=LAW&amp;n=511241" TargetMode = "External"/><Relationship Id="rId30" Type="http://schemas.openxmlformats.org/officeDocument/2006/relationships/hyperlink" Target="https://login.consultant.ru/link/?req=doc&amp;base=LAW&amp;n=508485&amp;dst=100029" TargetMode = "External"/><Relationship Id="rId31" Type="http://schemas.openxmlformats.org/officeDocument/2006/relationships/hyperlink" Target="https://login.consultant.ru/link/?req=doc&amp;base=LAW&amp;n=149911" TargetMode = "External"/><Relationship Id="rId32" Type="http://schemas.openxmlformats.org/officeDocument/2006/relationships/hyperlink" Target="https://login.consultant.ru/link/?req=doc&amp;base=LAW&amp;n=149911" TargetMode = "External"/><Relationship Id="rId33" Type="http://schemas.openxmlformats.org/officeDocument/2006/relationships/hyperlink" Target="https://login.consultant.ru/link/?req=doc&amp;base=LAW&amp;n=495364" TargetMode = "External"/><Relationship Id="rId34" Type="http://schemas.openxmlformats.org/officeDocument/2006/relationships/hyperlink" Target="https://login.consultant.ru/link/?req=doc&amp;base=LAW&amp;n=464867&amp;dst=100049" TargetMode = "External"/><Relationship Id="rId35" Type="http://schemas.openxmlformats.org/officeDocument/2006/relationships/hyperlink" Target="https://login.consultant.ru/link/?req=doc&amp;base=LAW&amp;n=511241&amp;dst=4626" TargetMode = "External"/><Relationship Id="rId36" Type="http://schemas.openxmlformats.org/officeDocument/2006/relationships/hyperlink" Target="https://login.consultant.ru/link/?req=doc&amp;base=LAW&amp;n=511241&amp;dst=7499" TargetMode = "External"/><Relationship Id="rId37" Type="http://schemas.openxmlformats.org/officeDocument/2006/relationships/hyperlink" Target="https://login.consultant.ru/link/?req=doc&amp;base=LAW&amp;n=338502&amp;dst=100080" TargetMode = "External"/><Relationship Id="rId38" Type="http://schemas.openxmlformats.org/officeDocument/2006/relationships/hyperlink" Target="https://login.consultant.ru/link/?req=doc&amp;base=LAW&amp;n=360156&amp;dst=100024" TargetMode = "External"/><Relationship Id="rId39" Type="http://schemas.openxmlformats.org/officeDocument/2006/relationships/hyperlink" Target="https://login.consultant.ru/link/?req=doc&amp;base=LAW&amp;n=377580&amp;dst=100035" TargetMode = "External"/><Relationship Id="rId40" Type="http://schemas.openxmlformats.org/officeDocument/2006/relationships/hyperlink" Target="https://login.consultant.ru/link/?req=doc&amp;base=LAW&amp;n=409237&amp;dst=100161" TargetMode = "External"/><Relationship Id="rId41" Type="http://schemas.openxmlformats.org/officeDocument/2006/relationships/hyperlink" Target="https://login.consultant.ru/link/?req=doc&amp;base=LAW&amp;n=457391&amp;dst=100046" TargetMode = "External"/><Relationship Id="rId42" Type="http://schemas.openxmlformats.org/officeDocument/2006/relationships/hyperlink" Target="https://login.consultant.ru/link/?req=doc&amp;base=LAW&amp;n=464867&amp;dst=100066" TargetMode = "External"/><Relationship Id="rId43" Type="http://schemas.openxmlformats.org/officeDocument/2006/relationships/hyperlink" Target="https://login.consultant.ru/link/?req=doc&amp;base=LAW&amp;n=149911" TargetMode = "External"/><Relationship Id="rId44" Type="http://schemas.openxmlformats.org/officeDocument/2006/relationships/hyperlink" Target="https://login.consultant.ru/link/?req=doc&amp;base=LAW&amp;n=495935" TargetMode = "External"/><Relationship Id="rId45" Type="http://schemas.openxmlformats.org/officeDocument/2006/relationships/header" Target="header2.xml"/><Relationship Id="rId46" Type="http://schemas.openxmlformats.org/officeDocument/2006/relationships/footer" Target="footer2.xml"/><Relationship Id="rId47" Type="http://schemas.openxmlformats.org/officeDocument/2006/relationships/hyperlink" Target="https://login.consultant.ru/link/?req=doc&amp;base=LAW&amp;n=149911" TargetMode = "External"/><Relationship Id="rId48" Type="http://schemas.openxmlformats.org/officeDocument/2006/relationships/hyperlink" Target="https://login.consultant.ru/link/?req=doc&amp;base=LAW&amp;n=502788" TargetMode = "External"/><Relationship Id="rId49" Type="http://schemas.openxmlformats.org/officeDocument/2006/relationships/hyperlink" Target="https://login.consultant.ru/link/?req=doc&amp;base=LAW&amp;n=149911" TargetMode = "External"/><Relationship Id="rId50" Type="http://schemas.openxmlformats.org/officeDocument/2006/relationships/hyperlink" Target="https://login.consultant.ru/link/?req=doc&amp;base=LAW&amp;n=338502&amp;dst=100080" TargetMode = "External"/><Relationship Id="rId51" Type="http://schemas.openxmlformats.org/officeDocument/2006/relationships/hyperlink" Target="https://login.consultant.ru/link/?req=doc&amp;base=LAW&amp;n=377580&amp;dst=100036" TargetMode = "External"/><Relationship Id="rId52" Type="http://schemas.openxmlformats.org/officeDocument/2006/relationships/hyperlink" Target="https://login.consultant.ru/link/?req=doc&amp;base=LAW&amp;n=409237&amp;dst=100177" TargetMode = "External"/><Relationship Id="rId53" Type="http://schemas.openxmlformats.org/officeDocument/2006/relationships/hyperlink" Target="https://login.consultant.ru/link/?req=doc&amp;base=LAW&amp;n=457391&amp;dst=100055" TargetMode = "External"/><Relationship Id="rId54" Type="http://schemas.openxmlformats.org/officeDocument/2006/relationships/hyperlink" Target="https://login.consultant.ru/link/?req=doc&amp;base=LAW&amp;n=149911" TargetMode = "External"/><Relationship Id="rId55" Type="http://schemas.openxmlformats.org/officeDocument/2006/relationships/hyperlink" Target="https://login.consultant.ru/link/?req=doc&amp;base=LAW&amp;n=495935" TargetMode = "External"/><Relationship Id="rId56" Type="http://schemas.openxmlformats.org/officeDocument/2006/relationships/hyperlink" Target="https://login.consultant.ru/link/?req=doc&amp;base=LAW&amp;n=338502&amp;dst=100081" TargetMode = "External"/><Relationship Id="rId57" Type="http://schemas.openxmlformats.org/officeDocument/2006/relationships/hyperlink" Target="https://login.consultant.ru/link/?req=doc&amp;base=LAW&amp;n=338502&amp;dst=100081" TargetMode = "External"/><Relationship Id="rId58" Type="http://schemas.openxmlformats.org/officeDocument/2006/relationships/hyperlink" Target="https://login.consultant.ru/link/?req=doc&amp;base=LAW&amp;n=338502&amp;dst=100081" TargetMode = "External"/><Relationship Id="rId59" Type="http://schemas.openxmlformats.org/officeDocument/2006/relationships/hyperlink" Target="https://login.consultant.ru/link/?req=doc&amp;base=LAW&amp;n=464867&amp;dst=100069" TargetMode = "External"/><Relationship Id="rId60" Type="http://schemas.openxmlformats.org/officeDocument/2006/relationships/hyperlink" Target="https://login.consultant.ru/link/?req=doc&amp;base=LAW&amp;n=338502&amp;dst=100081" TargetMode = "External"/><Relationship Id="rId61" Type="http://schemas.openxmlformats.org/officeDocument/2006/relationships/hyperlink" Target="https://login.consultant.ru/link/?req=doc&amp;base=LAW&amp;n=338502&amp;dst=100080" TargetMode = "External"/><Relationship Id="rId62" Type="http://schemas.openxmlformats.org/officeDocument/2006/relationships/hyperlink" Target="https://login.consultant.ru/link/?req=doc&amp;base=LAW&amp;n=387829&amp;dst=100039" TargetMode = "External"/><Relationship Id="rId63" Type="http://schemas.openxmlformats.org/officeDocument/2006/relationships/hyperlink" Target="https://login.consultant.ru/link/?req=doc&amp;base=LAW&amp;n=409237&amp;dst=100210" TargetMode = "External"/><Relationship Id="rId64" Type="http://schemas.openxmlformats.org/officeDocument/2006/relationships/hyperlink" Target="https://login.consultant.ru/link/?req=doc&amp;base=LAW&amp;n=457391&amp;dst=100065" TargetMode = "External"/><Relationship Id="rId65" Type="http://schemas.openxmlformats.org/officeDocument/2006/relationships/hyperlink" Target="https://login.consultant.ru/link/?req=doc&amp;base=LAW&amp;n=149911" TargetMode = "External"/><Relationship Id="rId66" Type="http://schemas.openxmlformats.org/officeDocument/2006/relationships/hyperlink" Target="https://login.consultant.ru/link/?req=doc&amp;base=LAW&amp;n=495935" TargetMode = "External"/><Relationship Id="rId67" Type="http://schemas.openxmlformats.org/officeDocument/2006/relationships/hyperlink" Target="https://login.consultant.ru/link/?req=doc&amp;base=LAW&amp;n=338502&amp;dst=100080" TargetMode = "External"/><Relationship Id="rId68" Type="http://schemas.openxmlformats.org/officeDocument/2006/relationships/hyperlink" Target="https://login.consultant.ru/link/?req=doc&amp;base=LAW&amp;n=377580&amp;dst=100037" TargetMode = "External"/><Relationship Id="rId69" Type="http://schemas.openxmlformats.org/officeDocument/2006/relationships/hyperlink" Target="https://login.consultant.ru/link/?req=doc&amp;base=LAW&amp;n=387829&amp;dst=100040" TargetMode = "External"/><Relationship Id="rId70" Type="http://schemas.openxmlformats.org/officeDocument/2006/relationships/hyperlink" Target="https://login.consultant.ru/link/?req=doc&amp;base=LAW&amp;n=409237&amp;dst=100225" TargetMode = "External"/><Relationship Id="rId71" Type="http://schemas.openxmlformats.org/officeDocument/2006/relationships/hyperlink" Target="https://login.consultant.ru/link/?req=doc&amp;base=LAW&amp;n=426798&amp;dst=100019" TargetMode = "External"/><Relationship Id="rId72" Type="http://schemas.openxmlformats.org/officeDocument/2006/relationships/hyperlink" Target="https://login.consultant.ru/link/?req=doc&amp;base=LAW&amp;n=457391&amp;dst=100066" TargetMode = "External"/><Relationship Id="rId73" Type="http://schemas.openxmlformats.org/officeDocument/2006/relationships/hyperlink" Target="https://login.consultant.ru/link/?req=doc&amp;base=LAW&amp;n=149911" TargetMode = "External"/><Relationship Id="rId74" Type="http://schemas.openxmlformats.org/officeDocument/2006/relationships/hyperlink" Target="https://login.consultant.ru/link/?req=doc&amp;base=LAW&amp;n=495935" TargetMode = "External"/><Relationship Id="rId75" Type="http://schemas.openxmlformats.org/officeDocument/2006/relationships/hyperlink" Target="https://login.consultant.ru/link/?req=doc&amp;base=LAW&amp;n=495935" TargetMode = "External"/><Relationship Id="rId76" Type="http://schemas.openxmlformats.org/officeDocument/2006/relationships/hyperlink" Target="https://login.consultant.ru/link/?req=doc&amp;base=LAW&amp;n=495935" TargetMode = "External"/><Relationship Id="rId77" Type="http://schemas.openxmlformats.org/officeDocument/2006/relationships/hyperlink" Target="https://login.consultant.ru/link/?req=doc&amp;base=LAW&amp;n=495935" TargetMode = "External"/><Relationship Id="rId78" Type="http://schemas.openxmlformats.org/officeDocument/2006/relationships/hyperlink" Target="https://login.consultant.ru/link/?req=doc&amp;base=LAW&amp;n=338502&amp;dst=100081" TargetMode = "External"/><Relationship Id="rId79" Type="http://schemas.openxmlformats.org/officeDocument/2006/relationships/hyperlink" Target="https://login.consultant.ru/link/?req=doc&amp;base=LAW&amp;n=464867&amp;dst=100069" TargetMode = "External"/><Relationship Id="rId80" Type="http://schemas.openxmlformats.org/officeDocument/2006/relationships/hyperlink" Target="https://login.consultant.ru/link/?req=doc&amp;base=LAW&amp;n=338502&amp;dst=100081" TargetMode = "External"/><Relationship Id="rId81" Type="http://schemas.openxmlformats.org/officeDocument/2006/relationships/hyperlink" Target="https://login.consultant.ru/link/?req=doc&amp;base=LAW&amp;n=457391&amp;dst=100089" TargetMode = "External"/><Relationship Id="rId82" Type="http://schemas.openxmlformats.org/officeDocument/2006/relationships/hyperlink" Target="https://login.consultant.ru/link/?req=doc&amp;base=LAW&amp;n=149911" TargetMode = "External"/><Relationship Id="rId83" Type="http://schemas.openxmlformats.org/officeDocument/2006/relationships/hyperlink" Target="https://login.consultant.ru/link/?req=doc&amp;base=LAW&amp;n=149911" TargetMode = "External"/><Relationship Id="rId84" Type="http://schemas.openxmlformats.org/officeDocument/2006/relationships/hyperlink" Target="https://login.consultant.ru/link/?req=doc&amp;base=LAW&amp;n=502788" TargetMode = "External"/><Relationship Id="rId85" Type="http://schemas.openxmlformats.org/officeDocument/2006/relationships/hyperlink" Target="https://login.consultant.ru/link/?req=doc&amp;base=LAW&amp;n=511241&amp;dst=7499" TargetMode = "External"/><Relationship Id="rId86" Type="http://schemas.openxmlformats.org/officeDocument/2006/relationships/hyperlink" Target="https://login.consultant.ru/link/?req=doc&amp;base=LAW&amp;n=457391&amp;dst=100090" TargetMode = "External"/><Relationship Id="rId87" Type="http://schemas.openxmlformats.org/officeDocument/2006/relationships/hyperlink" Target="https://login.consultant.ru/link/?req=doc&amp;base=LAW&amp;n=502788" TargetMode = "External"/><Relationship Id="rId88" Type="http://schemas.openxmlformats.org/officeDocument/2006/relationships/hyperlink" Target="https://login.consultant.ru/link/?req=doc&amp;base=LAW&amp;n=149911" TargetMode = "External"/><Relationship Id="rId89" Type="http://schemas.openxmlformats.org/officeDocument/2006/relationships/hyperlink" Target="https://login.consultant.ru/link/?req=doc&amp;base=LAW&amp;n=149911" TargetMode = "External"/><Relationship Id="rId90" Type="http://schemas.openxmlformats.org/officeDocument/2006/relationships/hyperlink" Target="https://login.consultant.ru/link/?req=doc&amp;base=LAW&amp;n=511241&amp;dst=749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14.12.2018 N 270н
(ред. от 18.02.2025)
"Об утверждении Типовой формы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(Зарегистрировано в Минюсте России 21.01.2019 N 53461)</dc:title>
  <dcterms:created xsi:type="dcterms:W3CDTF">2025-08-28T10:14:52Z</dcterms:created>
</cp:coreProperties>
</file>