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26.06.2015 N 640</w:t>
              <w:br/>
              <w:t xml:space="preserve">(ред. от 10.12.2025)</w:t>
              <w:br/>
              <w:t xml:space="preserve">"О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w:t>
              <w:br/>
              <w:t xml:space="preserve">(вместе с "Положением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26 июня 2015 г. N 640</w:t>
      </w:r>
    </w:p>
    <w:p>
      <w:pPr>
        <w:pStyle w:val="2"/>
        <w:jc w:val="both"/>
      </w:pPr>
      <w:r>
        <w:rPr>
          <w:sz w:val="20"/>
        </w:rPr>
      </w:r>
    </w:p>
    <w:p>
      <w:pPr>
        <w:pStyle w:val="2"/>
        <w:jc w:val="center"/>
      </w:pPr>
      <w:r>
        <w:rPr>
          <w:sz w:val="20"/>
        </w:rPr>
        <w:t xml:space="preserve">О ПОРЯДКЕ</w:t>
      </w:r>
    </w:p>
    <w:p>
      <w:pPr>
        <w:pStyle w:val="2"/>
        <w:jc w:val="center"/>
      </w:pPr>
      <w:r>
        <w:rPr>
          <w:sz w:val="20"/>
        </w:rPr>
        <w:t xml:space="preserve">ФОРМИРОВАНИЯ ГОСУДАРСТВЕННОГО ЗАДАНИЯ НА ОКАЗАНИЕ</w:t>
      </w:r>
    </w:p>
    <w:p>
      <w:pPr>
        <w:pStyle w:val="2"/>
        <w:jc w:val="center"/>
      </w:pPr>
      <w:r>
        <w:rPr>
          <w:sz w:val="20"/>
        </w:rPr>
        <w:t xml:space="preserve">ГОСУДАРСТВЕННЫХ УСЛУГ (ВЫПОЛНЕНИЕ РАБОТ) В ОТНОШЕНИИ</w:t>
      </w:r>
    </w:p>
    <w:p>
      <w:pPr>
        <w:pStyle w:val="2"/>
        <w:jc w:val="center"/>
      </w:pPr>
      <w:r>
        <w:rPr>
          <w:sz w:val="20"/>
        </w:rPr>
        <w:t xml:space="preserve">ФЕДЕРАЛЬНЫХ ГОСУДАРСТВЕННЫХ УЧРЕЖДЕНИЙ И ФИНАНСОВОГО</w:t>
      </w:r>
    </w:p>
    <w:p>
      <w:pPr>
        <w:pStyle w:val="2"/>
        <w:jc w:val="center"/>
      </w:pPr>
      <w:r>
        <w:rPr>
          <w:sz w:val="20"/>
        </w:rPr>
        <w:t xml:space="preserve">ОБЕСПЕЧЕНИЯ ВЫПОЛНЕНИЯ ГОСУДАРСТВЕННОГО ЗАДАНИЯ</w:t>
      </w:r>
    </w:p>
    <w:p>
      <w:pPr>
        <w:pStyle w:val="0"/>
        <w:jc w:val="both"/>
      </w:pPr>
      <w:r>
        <w:rPr>
          <w:sz w:val="20"/>
        </w:rPr>
      </w:r>
    </w:p>
    <w:p>
      <w:pPr>
        <w:pStyle w:val="0"/>
        <w:ind w:firstLine="540"/>
        <w:jc w:val="both"/>
      </w:pPr>
      <w:r>
        <w:rPr>
          <w:sz w:val="20"/>
        </w:rPr>
        <w:t xml:space="preserve">В соответствии с </w:t>
      </w:r>
      <w:hyperlink w:history="0" r:id="rId8" w:tooltip="&quot;Бюджетный кодекс Российской Федерации&quot; от 31.07.1998 N 145-ФЗ (ред. от 28.12.2025) {КонсультантПлюс}">
        <w:r>
          <w:rPr>
            <w:sz w:val="20"/>
            <w:color w:val="0000ff"/>
          </w:rPr>
          <w:t xml:space="preserve">пунктами 3</w:t>
        </w:r>
      </w:hyperlink>
      <w:r>
        <w:rPr>
          <w:sz w:val="20"/>
        </w:rPr>
        <w:t xml:space="preserve"> и </w:t>
      </w:r>
      <w:hyperlink w:history="0" r:id="rId9" w:tooltip="&quot;Бюджетный кодекс Российской Федерации&quot; от 31.07.1998 N 145-ФЗ (ред. от 28.12.2025) {КонсультантПлюс}">
        <w:r>
          <w:rPr>
            <w:sz w:val="20"/>
            <w:color w:val="0000ff"/>
          </w:rPr>
          <w:t xml:space="preserve">4 статьи 69.2</w:t>
        </w:r>
      </w:hyperlink>
      <w:r>
        <w:rPr>
          <w:sz w:val="20"/>
        </w:rPr>
        <w:t xml:space="preserve"> Бюджетного кодекса Российской Федерации, </w:t>
      </w:r>
      <w:hyperlink w:history="0" r:id="rId10" w:tooltip="Федеральный закон от 12.01.1996 N 7-ФЗ (ред. от 28.12.2025) &quot;О некоммерческих организациях&quot; {КонсультантПлюс}">
        <w:r>
          <w:rPr>
            <w:sz w:val="20"/>
            <w:color w:val="0000ff"/>
          </w:rPr>
          <w:t xml:space="preserve">подпунктом 1 пункта 7 статьи 9.2</w:t>
        </w:r>
      </w:hyperlink>
      <w:r>
        <w:rPr>
          <w:sz w:val="20"/>
        </w:rPr>
        <w:t xml:space="preserve"> Федерального закона "О некоммерческих организациях" и </w:t>
      </w:r>
      <w:hyperlink w:history="0" r:id="rId11" w:tooltip="Федеральный закон от 03.11.2006 N 174-ФЗ (ред. от 24.06.2025, с изм. от 28.11.2025) &quot;Об автономных учреждениях&quot; {КонсультантПлюс}">
        <w:r>
          <w:rPr>
            <w:sz w:val="20"/>
            <w:color w:val="0000ff"/>
          </w:rPr>
          <w:t xml:space="preserve">частью 5 статьи 4</w:t>
        </w:r>
      </w:hyperlink>
      <w:r>
        <w:rPr>
          <w:sz w:val="20"/>
        </w:rPr>
        <w:t xml:space="preserve"> Федерального закона "Об автономных учреждениях"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47" w:tooltip="ПОЛОЖЕНИЕ">
        <w:r>
          <w:rPr>
            <w:sz w:val="20"/>
            <w:color w:val="0000ff"/>
          </w:rPr>
          <w:t xml:space="preserve">Положение</w:t>
        </w:r>
      </w:hyperlink>
      <w:r>
        <w:rPr>
          <w:sz w:val="20"/>
        </w:rP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(далее соответственно-государственное задание, Положение).</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2" w:tooltip="Постановление Правительства РФ от 02.09.2010 N 671 (ред. от 15.10.2014) &quot;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в отношении федеральных государственных учреждений и финансовом обеспечении выполнения государственного зад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 сентября 2010 г. N 671 "О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2010, N 37, ст. 4686);</w:t>
      </w:r>
    </w:p>
    <w:p>
      <w:pPr>
        <w:pStyle w:val="0"/>
        <w:spacing w:before="200" w:lineRule="auto"/>
        <w:ind w:firstLine="540"/>
        <w:jc w:val="both"/>
      </w:pPr>
      <w:hyperlink w:history="0" r:id="rId13" w:tooltip="Постановление Правительства РФ от 19.08.2011 N 700 &quot;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19 августа 2011 г. N 700 "О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 (Собрание законодательства Российской Федерации, 2011, N 35, ст. 5087);</w:t>
      </w:r>
    </w:p>
    <w:p>
      <w:pPr>
        <w:pStyle w:val="0"/>
        <w:spacing w:before="200" w:lineRule="auto"/>
        <w:ind w:firstLine="540"/>
        <w:jc w:val="both"/>
      </w:pPr>
      <w:hyperlink w:history="0" r:id="rId14" w:tooltip="Постановление Правительства РФ от 29.10.2012 N 1110 &quot;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29 октября 2012 г. N 1110 "О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 (Собрание законодательства Российской Федерации, 2012, N 45, ст. 6248);</w:t>
      </w:r>
    </w:p>
    <w:p>
      <w:pPr>
        <w:pStyle w:val="0"/>
        <w:spacing w:before="200" w:lineRule="auto"/>
        <w:ind w:firstLine="540"/>
        <w:jc w:val="both"/>
      </w:pPr>
      <w:hyperlink w:history="0" r:id="rId15" w:tooltip="Постановление Правительства РФ от 03.06.2013 N 467 &quot;О мерах по осуществлению перехода к нормативно-подушевому финансированию имеющих государственную аккредитацию образовательных программ высшего профессионального образования&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июня 2013 г. N 467 "О мерах по осуществлению перехода к нормативно-подушевому финансированию имеющих государственную аккредитацию образовательных программ высшего профессионального образования" (Собрание законодательства Российской Федерации, 2013, N 23, ст. 2924);</w:t>
      </w:r>
    </w:p>
    <w:p>
      <w:pPr>
        <w:pStyle w:val="0"/>
        <w:spacing w:before="200" w:lineRule="auto"/>
        <w:ind w:firstLine="540"/>
        <w:jc w:val="both"/>
      </w:pPr>
      <w:hyperlink w:history="0" r:id="rId16" w:tooltip="Постановление Правительства РФ от 04.06.2014 N 511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июня 2014 г. N 511 "О внесении изменений в некоторые акты Правительства Российской Федерации" (Собрание законодательства Российской Федерации, 2014, N 23, ст. 2997);</w:t>
      </w:r>
    </w:p>
    <w:p>
      <w:pPr>
        <w:pStyle w:val="0"/>
        <w:spacing w:before="200" w:lineRule="auto"/>
        <w:ind w:firstLine="540"/>
        <w:jc w:val="both"/>
      </w:pPr>
      <w:hyperlink w:history="0" r:id="rId17" w:tooltip="Постановление Правительства РФ от 11.10.2014 N 104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октября 2014 г. N 1042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2014, N 42, ст. 5750);</w:t>
      </w:r>
    </w:p>
    <w:p>
      <w:pPr>
        <w:pStyle w:val="0"/>
        <w:spacing w:before="200" w:lineRule="auto"/>
        <w:ind w:firstLine="540"/>
        <w:jc w:val="both"/>
      </w:pPr>
      <w:hyperlink w:history="0" r:id="rId18" w:tooltip="Постановление Правительства РФ от 15.10.2014 N 105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25</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октября 2014 г. N 1054 "О внесении изменений в некоторые акты Правительства Российской Федерации" (Собрание законодательства Российской Федерации, 2014, N 43, ст. 5892).</w:t>
      </w:r>
    </w:p>
    <w:p>
      <w:pPr>
        <w:pStyle w:val="0"/>
        <w:spacing w:before="200" w:lineRule="auto"/>
        <w:ind w:firstLine="540"/>
        <w:jc w:val="both"/>
      </w:pPr>
      <w:r>
        <w:rPr>
          <w:sz w:val="20"/>
        </w:rPr>
        <w:t xml:space="preserve">3. Настоящее постановление вступает в силу с 1 января 2016 г.</w:t>
      </w:r>
    </w:p>
    <w:p>
      <w:pPr>
        <w:pStyle w:val="0"/>
        <w:spacing w:before="200" w:lineRule="auto"/>
        <w:ind w:firstLine="540"/>
        <w:jc w:val="both"/>
      </w:pPr>
      <w:r>
        <w:rPr>
          <w:sz w:val="20"/>
        </w:rPr>
        <w:t xml:space="preserve">4. Действие </w:t>
      </w:r>
      <w:hyperlink w:history="0" w:anchor="P101" w:tooltip="11.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федеральным государственным учреждением при выполнении государственного задания.">
        <w:r>
          <w:rPr>
            <w:sz w:val="20"/>
            <w:color w:val="0000ff"/>
          </w:rPr>
          <w:t xml:space="preserve">пункта 11</w:t>
        </w:r>
      </w:hyperlink>
      <w:r>
        <w:rPr>
          <w:sz w:val="20"/>
        </w:rPr>
        <w:t xml:space="preserve"> (за исключением нормативных затрат, связанных с выполнением работ в рамках государственного задания), </w:t>
      </w:r>
      <w:hyperlink w:history="0" w:anchor="P102" w:tooltip="12. Объем финансового обеспечения выполнения государственного задания (R) определяется по формуле:">
        <w:r>
          <w:rPr>
            <w:sz w:val="20"/>
            <w:color w:val="0000ff"/>
          </w:rPr>
          <w:t xml:space="preserve">пункта 12</w:t>
        </w:r>
      </w:hyperlink>
      <w:r>
        <w:rPr>
          <w:sz w:val="20"/>
        </w:rPr>
        <w:t xml:space="preserve"> (за исключением </w:t>
      </w:r>
      <w:hyperlink w:history="0" w:anchor="P102" w:tooltip="12. Объем финансового обеспечения выполнения государственного задания (R) определяется по формуле:">
        <w:r>
          <w:rPr>
            <w:sz w:val="20"/>
            <w:color w:val="0000ff"/>
          </w:rPr>
          <w:t xml:space="preserve">абзаца второго</w:t>
        </w:r>
      </w:hyperlink>
      <w:r>
        <w:rPr>
          <w:sz w:val="20"/>
        </w:rPr>
        <w:t xml:space="preserve"> в части нормативных затрат, связанных с выполнением работ в рамках государственного задания, и </w:t>
      </w:r>
      <w:hyperlink w:history="0" w:anchor="P102" w:tooltip="12. Объем финансового обеспечения выполнения государственного задания (R) определяется по формуле:">
        <w:r>
          <w:rPr>
            <w:sz w:val="20"/>
            <w:color w:val="0000ff"/>
          </w:rPr>
          <w:t xml:space="preserve">абзаца шестого</w:t>
        </w:r>
      </w:hyperlink>
      <w:r>
        <w:rPr>
          <w:sz w:val="20"/>
        </w:rPr>
        <w:t xml:space="preserve">), </w:t>
      </w:r>
      <w:hyperlink w:history="0" w:anchor="P114" w:tooltip="13.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
        <w:r>
          <w:rPr>
            <w:sz w:val="20"/>
            <w:color w:val="0000ff"/>
          </w:rPr>
          <w:t xml:space="preserve">пунктов 13</w:t>
        </w:r>
      </w:hyperlink>
      <w:r>
        <w:rPr>
          <w:sz w:val="20"/>
        </w:rPr>
        <w:t xml:space="preserve"> - </w:t>
      </w:r>
      <w:hyperlink w:history="0" w:anchor="P130" w:tooltip="19. В базовый норматив затрат, непосредственно связанных с оказанием государственной услуги, включаются:">
        <w:r>
          <w:rPr>
            <w:sz w:val="20"/>
            <w:color w:val="0000ff"/>
          </w:rPr>
          <w:t xml:space="preserve">19</w:t>
        </w:r>
      </w:hyperlink>
      <w:r>
        <w:rPr>
          <w:sz w:val="20"/>
        </w:rPr>
        <w:t xml:space="preserve">, </w:t>
      </w:r>
      <w:hyperlink w:history="0" w:anchor="P135" w:tooltip="20. В базовый норматив затрат на общехозяйственные нужды на оказание государственной услуги включаются:">
        <w:r>
          <w:rPr>
            <w:sz w:val="20"/>
            <w:color w:val="0000ff"/>
          </w:rPr>
          <w:t xml:space="preserve">пункта 20</w:t>
        </w:r>
      </w:hyperlink>
      <w:r>
        <w:rPr>
          <w:sz w:val="20"/>
        </w:rPr>
        <w:t xml:space="preserve"> (за исключением </w:t>
      </w:r>
      <w:hyperlink w:history="0" w:anchor="P139" w:tooltip="г) утратил силу. - Постановление Правительства РФ от 16.05.2023 N 764;">
        <w:r>
          <w:rPr>
            <w:sz w:val="20"/>
            <w:color w:val="0000ff"/>
          </w:rPr>
          <w:t xml:space="preserve">подпункта "г"</w:t>
        </w:r>
      </w:hyperlink>
      <w:r>
        <w:rPr>
          <w:sz w:val="20"/>
        </w:rPr>
        <w:t xml:space="preserve">), </w:t>
      </w:r>
      <w:hyperlink w:history="0" w:anchor="P144" w:tooltip="21. В затраты, указанные в подпунктах &quot;а&quot; - &quot;в&quot; пункта 20 настоящего Положения, включаются затраты на оказание государствен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 (далее - имущество, необходимое для выполнения государственного задания).">
        <w:r>
          <w:rPr>
            <w:sz w:val="20"/>
            <w:color w:val="0000ff"/>
          </w:rPr>
          <w:t xml:space="preserve">пунктов 21</w:t>
        </w:r>
      </w:hyperlink>
      <w:r>
        <w:rPr>
          <w:sz w:val="20"/>
        </w:rPr>
        <w:t xml:space="preserve"> - </w:t>
      </w:r>
      <w:hyperlink w:history="0" w:anchor="P163" w:tooltip="27. Значения базового норматива затрат на оказание государственных услуг, отраслевых и территориальных корректирующих коэффициентов утверждаются в порядке, предусмотренном пунктом 15(1) настоящего Положения.">
        <w:r>
          <w:rPr>
            <w:sz w:val="20"/>
            <w:color w:val="0000ff"/>
          </w:rPr>
          <w:t xml:space="preserve">27</w:t>
        </w:r>
      </w:hyperlink>
      <w:r>
        <w:rPr>
          <w:sz w:val="20"/>
        </w:rPr>
        <w:t xml:space="preserve">, </w:t>
      </w:r>
      <w:hyperlink w:history="0" w:anchor="P191" w:tooltip="33. Утратил силу. - Постановление Правительства РФ от 10.12.2025 N 2005.">
        <w:r>
          <w:rPr>
            <w:sz w:val="20"/>
            <w:color w:val="0000ff"/>
          </w:rPr>
          <w:t xml:space="preserve">33</w:t>
        </w:r>
      </w:hyperlink>
      <w:r>
        <w:rPr>
          <w:sz w:val="20"/>
        </w:rPr>
        <w:t xml:space="preserve"> - </w:t>
      </w:r>
      <w:hyperlink w:history="0" w:anchor="P195" w:tooltip="38. Нормативные затраты (затраты), определяемые в соответствии с настоящим Положением, учитываются при формировании обоснований бюджетных ассигнований федерального бюджета на очередной финансовый год и плановый период.">
        <w:r>
          <w:rPr>
            <w:sz w:val="20"/>
            <w:color w:val="0000ff"/>
          </w:rPr>
          <w:t xml:space="preserve">38</w:t>
        </w:r>
      </w:hyperlink>
      <w:r>
        <w:rPr>
          <w:sz w:val="20"/>
        </w:rPr>
        <w:t xml:space="preserve"> Положения и </w:t>
      </w:r>
      <w:hyperlink w:history="0" w:anchor="P283" w:tooltip="                      ГОСУДАРСТВЕННОЕ ЗАДАНИЕ N &lt;1&gt;      │    │">
        <w:r>
          <w:rPr>
            <w:sz w:val="20"/>
            <w:color w:val="0000ff"/>
          </w:rPr>
          <w:t xml:space="preserve">приложения N 1</w:t>
        </w:r>
      </w:hyperlink>
      <w:r>
        <w:rPr>
          <w:sz w:val="20"/>
        </w:rPr>
        <w:t xml:space="preserve"> к Положению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начиная с государственного задания на 2016 год и на плановый период 2017 и 2018 годов.</w:t>
      </w:r>
    </w:p>
    <w:p>
      <w:pPr>
        <w:pStyle w:val="0"/>
        <w:spacing w:before="200" w:lineRule="auto"/>
        <w:ind w:firstLine="540"/>
        <w:jc w:val="both"/>
      </w:pPr>
      <w:r>
        <w:rPr>
          <w:sz w:val="20"/>
        </w:rPr>
        <w:t xml:space="preserve">5. </w:t>
      </w:r>
      <w:hyperlink w:history="0" w:anchor="P101" w:tooltip="11.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федеральным государственным учреждением при выполнении государственного задания.">
        <w:r>
          <w:rPr>
            <w:sz w:val="20"/>
            <w:color w:val="0000ff"/>
          </w:rPr>
          <w:t xml:space="preserve">Пункт 11</w:t>
        </w:r>
      </w:hyperlink>
      <w:r>
        <w:rPr>
          <w:sz w:val="20"/>
        </w:rPr>
        <w:t xml:space="preserve">, </w:t>
      </w:r>
      <w:hyperlink w:history="0" w:anchor="P102" w:tooltip="12. Объем финансового обеспечения выполнения государственного задания (R) определяется по формуле:">
        <w:r>
          <w:rPr>
            <w:sz w:val="20"/>
            <w:color w:val="0000ff"/>
          </w:rPr>
          <w:t xml:space="preserve">абзацы второй</w:t>
        </w:r>
      </w:hyperlink>
      <w:r>
        <w:rPr>
          <w:sz w:val="20"/>
        </w:rPr>
        <w:t xml:space="preserve"> и </w:t>
      </w:r>
      <w:hyperlink w:history="0" w:anchor="P102" w:tooltip="12. Объем финансового обеспечения выполнения государственного задания (R) определяется по формуле:">
        <w:r>
          <w:rPr>
            <w:sz w:val="20"/>
            <w:color w:val="0000ff"/>
          </w:rPr>
          <w:t xml:space="preserve">шестой пункта 12</w:t>
        </w:r>
      </w:hyperlink>
      <w:r>
        <w:rPr>
          <w:sz w:val="20"/>
        </w:rPr>
        <w:t xml:space="preserve"> Положения в части нормативных затрат, связанных с выполнением работ в рамках государственного задания, и </w:t>
      </w:r>
      <w:hyperlink w:history="0" w:anchor="P165" w:tooltip="28.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а также по решению главного распорядителя средств федерального бюджета, в ведении которого находятся федеральные казенные учреждения.">
        <w:r>
          <w:rPr>
            <w:sz w:val="20"/>
            <w:color w:val="0000ff"/>
          </w:rPr>
          <w:t xml:space="preserve">пункты 28</w:t>
        </w:r>
      </w:hyperlink>
      <w:r>
        <w:rPr>
          <w:sz w:val="20"/>
        </w:rPr>
        <w:t xml:space="preserve"> - </w:t>
      </w:r>
      <w:hyperlink w:history="0" w:anchor="P187" w:tooltip="32. Значения нормативных затрат на выполнение работы утверждаются органом, осуществляющим функции и полномочия учредителя, а также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
        <w:r>
          <w:rPr>
            <w:sz w:val="20"/>
            <w:color w:val="0000ff"/>
          </w:rPr>
          <w:t xml:space="preserve">32</w:t>
        </w:r>
      </w:hyperlink>
      <w:r>
        <w:rPr>
          <w:sz w:val="20"/>
        </w:rPr>
        <w:t xml:space="preserve"> Положения применяются при расчете объема финансового обеспечения выполнения государственного задания, начиная с государственного задания на 2017 год и на плановый период 2018 и 2019 годов.</w:t>
      </w:r>
    </w:p>
    <w:p>
      <w:pPr>
        <w:pStyle w:val="0"/>
        <w:spacing w:before="200" w:lineRule="auto"/>
        <w:ind w:firstLine="540"/>
        <w:jc w:val="both"/>
      </w:pPr>
      <w:r>
        <w:rPr>
          <w:sz w:val="20"/>
        </w:rPr>
        <w:t xml:space="preserve">6. Утратил силу. - </w:t>
      </w:r>
      <w:hyperlink w:history="0" r:id="rId19" w:tooltip="Постановление Правительства РФ от 09.07.2019 N 873 (ред. от 10.12.2025)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w:t>
        </w:r>
      </w:hyperlink>
      <w:r>
        <w:rPr>
          <w:sz w:val="20"/>
        </w:rPr>
        <w:t xml:space="preserve"> Правительства РФ от 09.07.2019 N 873.</w:t>
      </w:r>
    </w:p>
    <w:p>
      <w:pPr>
        <w:pStyle w:val="0"/>
        <w:spacing w:before="200" w:lineRule="auto"/>
        <w:ind w:firstLine="540"/>
        <w:jc w:val="both"/>
      </w:pPr>
      <w:r>
        <w:rPr>
          <w:sz w:val="20"/>
        </w:rPr>
        <w:t xml:space="preserve">7. </w:t>
      </w:r>
      <w:hyperlink w:history="0" w:anchor="P139" w:tooltip="г) утратил силу. - Постановление Правительства РФ от 16.05.2023 N 764;">
        <w:r>
          <w:rPr>
            <w:sz w:val="20"/>
            <w:color w:val="0000ff"/>
          </w:rPr>
          <w:t xml:space="preserve">Подпункт "г" пункта 20</w:t>
        </w:r>
      </w:hyperlink>
      <w:r>
        <w:rPr>
          <w:sz w:val="20"/>
        </w:rPr>
        <w:t xml:space="preserve"> и </w:t>
      </w:r>
      <w:hyperlink w:history="0" w:anchor="P178" w:tooltip="ж) утратил силу. - Постановление Правительства РФ от 16.05.2023 N 764;">
        <w:r>
          <w:rPr>
            <w:sz w:val="20"/>
            <w:color w:val="0000ff"/>
          </w:rPr>
          <w:t xml:space="preserve">подпункт "ж" пункта 29</w:t>
        </w:r>
      </w:hyperlink>
      <w:r>
        <w:rPr>
          <w:sz w:val="20"/>
        </w:rPr>
        <w:t xml:space="preserve"> Положения применяются при расчете объема финансового обеспечения выполнения государственного задания на 2017 год и на плановый период 2018 и 2019 годов, если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(федеральным органом исполнительной власти, осуществляющим функции и полномочия учредителя федеральных бюджетных или автономных учреждений), не принято решение о включении затрат на формирование резерва на полное восстановление состава объектов особо ценного движимого имущества в базовый норматив затрат на оказание государственной услуги (нормативные затраты на выполнение работы) при расчете объема финансового обеспечения выполнения государственного задания начиная с государственного задания на 2018 год и на плановый период 2019 и 2020 годов.</w:t>
      </w:r>
    </w:p>
    <w:p>
      <w:pPr>
        <w:pStyle w:val="0"/>
        <w:spacing w:before="200" w:lineRule="auto"/>
        <w:ind w:firstLine="540"/>
        <w:jc w:val="both"/>
      </w:pPr>
      <w:r>
        <w:rPr>
          <w:sz w:val="20"/>
        </w:rPr>
        <w:t xml:space="preserve">8. До принятия нормативных правовых актов, предусмотренных </w:t>
      </w:r>
      <w:hyperlink w:history="0" w:anchor="P128" w:tooltip="18. При определении базового норматива затрат в части затрат, указанных в пункте 19 настоящего Положения,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
        <w:r>
          <w:rPr>
            <w:sz w:val="20"/>
            <w:color w:val="0000ff"/>
          </w:rPr>
          <w:t xml:space="preserve">пунктами 18</w:t>
        </w:r>
      </w:hyperlink>
      <w:r>
        <w:rPr>
          <w:sz w:val="20"/>
        </w:rPr>
        <w:t xml:space="preserve"> и </w:t>
      </w:r>
      <w:hyperlink w:history="0" w:anchor="P186" w:tooltip="3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w:r>
          <w:rPr>
            <w:sz w:val="20"/>
            <w:color w:val="0000ff"/>
          </w:rPr>
          <w:t xml:space="preserve">31</w:t>
        </w:r>
      </w:hyperlink>
      <w:r>
        <w:rPr>
          <w:sz w:val="20"/>
        </w:rPr>
        <w:t xml:space="preserve"> Положения, но не позднее срока формирования государственного задания на 2019 год и на плановый период 2020 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(в части государственных услуг)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при определении </w:t>
      </w:r>
      <w:hyperlink w:history="0" r:id="rId2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общих требований</w:t>
        </w:r>
      </w:hyperlink>
      <w:r>
        <w:rPr>
          <w:sz w:val="20"/>
        </w:rPr>
        <w:t xml:space="preserve">, предусмотренных </w:t>
      </w:r>
      <w:hyperlink w:history="0" r:id="rId21" w:tooltip="&quot;Бюджетный кодекс Российской Федерации&quot; от 31.07.1998 N 145-ФЗ (ред. от 28.12.2025) {КонсультантПлюс}">
        <w:r>
          <w:rPr>
            <w:sz w:val="20"/>
            <w:color w:val="0000ff"/>
          </w:rPr>
          <w:t xml:space="preserve">абзацем вторым пункта 4 статьи 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9. Утратил силу. - </w:t>
      </w:r>
      <w:hyperlink w:history="0" r:id="rId22"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10. При формировании государственного задания в период до начала срока формирования государственного задания на 2019 год и на плановый период 2020 и 2021 годов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значение базового норматива затрат на оказание государственной услуги и значение отраслевого корректирующего коэффициента к базовому нормативу затрат на оказание государственной услуги определяются федеральным органом исполнительной власти (государственным органом), осуществляющим функции и полномочия учредителя федерального бюджетного или автономного учреждения, а для федеральных бюджетных и автономных учреждений, функции и полномочия учредителя в отношении которых осуществляет Правительство Российской Федерации, значение базового норматива затрат на оказание государственной услуги и значение отраслевого корректирующего коэффициента к базовому нормативу затрат на оказание государственной услуги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соответствующей основным видам деятельности таких учреждений.</w:t>
      </w:r>
    </w:p>
    <w:p>
      <w:pPr>
        <w:pStyle w:val="0"/>
        <w:spacing w:before="200" w:lineRule="auto"/>
        <w:ind w:firstLine="540"/>
        <w:jc w:val="both"/>
      </w:pPr>
      <w:r>
        <w:rPr>
          <w:sz w:val="20"/>
        </w:rPr>
        <w:t xml:space="preserve">11. Положения </w:t>
      </w:r>
      <w:hyperlink w:history="0" w:anchor="P223" w:tooltip="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с федеральным бюджетным или автономным учреждением в соответствии с типовой формой, утвержденной Министерством финансов Российской Федерации (далее - соглашение). Соглашение определяет права, обязанности и ответственность сторон, в том числе объем ...">
        <w:r>
          <w:rPr>
            <w:sz w:val="20"/>
            <w:color w:val="0000ff"/>
          </w:rPr>
          <w:t xml:space="preserve">абзаца первого пункта 44</w:t>
        </w:r>
      </w:hyperlink>
      <w:r>
        <w:rPr>
          <w:sz w:val="20"/>
        </w:rPr>
        <w:t xml:space="preserve"> Положения в части, касающейся типовой формы соглашения, применяются при предоставлении субсидии на финансовое обеспечение выполнения государственного задания начиная с государственного задания на 2017 год и на плановый период 2018 и 2019 годов.</w:t>
      </w:r>
    </w:p>
    <w:p>
      <w:pPr>
        <w:pStyle w:val="0"/>
        <w:spacing w:before="200" w:lineRule="auto"/>
        <w:ind w:firstLine="540"/>
        <w:jc w:val="both"/>
      </w:pPr>
      <w:r>
        <w:rPr>
          <w:sz w:val="20"/>
        </w:rPr>
        <w:t xml:space="preserve">12. Формирование и финансовое обеспечение выполнения федеральными бюджетными или автономными учреждениями государственного задания, финансовое обеспечение выполнения которого осуществляется за счет средств бюджета Федерального фонда обязательного медицинского страхования в случаях, установленных федеральными законами, осуществляются в порядке, определенном Положением для формирования и финансового обеспечения выполнения государственного задания, финансовое обеспечение выполнения которого осуществляется за счет средств федерального бюджета, за исключением </w:t>
      </w:r>
      <w:hyperlink w:history="0" w:anchor="P223" w:tooltip="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с федеральным бюджетным или автономным учреждением в соответствии с типовой формой, утвержденной Министерством финансов Российской Федерации (далее - соглашение). Соглашение определяет права, обязанности и ответственность сторон, в том числе объем ...">
        <w:r>
          <w:rPr>
            <w:sz w:val="20"/>
            <w:color w:val="0000ff"/>
          </w:rPr>
          <w:t xml:space="preserve">пунктов 44</w:t>
        </w:r>
      </w:hyperlink>
      <w:r>
        <w:rPr>
          <w:sz w:val="20"/>
        </w:rPr>
        <w:t xml:space="preserve"> - </w:t>
      </w:r>
      <w:hyperlink w:history="0" w:anchor="P237" w:tooltip="46(1). Требования, установленные пунктами 45 и 46 настоящего Положения, связанные с перечислением субсидии, не распространяются:">
        <w:r>
          <w:rPr>
            <w:sz w:val="20"/>
            <w:color w:val="0000ff"/>
          </w:rPr>
          <w:t xml:space="preserve">46(1)</w:t>
        </w:r>
      </w:hyperlink>
      <w:r>
        <w:rPr>
          <w:sz w:val="20"/>
        </w:rPr>
        <w:t xml:space="preserve"> Положения.</w:t>
      </w:r>
    </w:p>
    <w:p>
      <w:pPr>
        <w:pStyle w:val="0"/>
        <w:spacing w:before="200" w:lineRule="auto"/>
        <w:ind w:firstLine="540"/>
        <w:jc w:val="both"/>
      </w:pPr>
      <w:r>
        <w:rPr>
          <w:sz w:val="20"/>
        </w:rPr>
        <w:t xml:space="preserve">Соглашения о порядке и об условиях предоставления субсидий из бюджета Федерального фонда обязательного медицинского страхования заключаются между указанным Фондом, федеральным органом исполнительной власти, осуществляющим функции и полномочия учредителя в отношении федеральных бюджетных и автономных учреждений, и федеральным бюджетным или автономным учреждением по форме и в порядке, которые утверждаются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26 июня 2015 г. N 640</w:t>
      </w:r>
    </w:p>
    <w:p>
      <w:pPr>
        <w:pStyle w:val="0"/>
        <w:jc w:val="both"/>
      </w:pPr>
      <w:r>
        <w:rPr>
          <w:sz w:val="20"/>
        </w:rPr>
      </w:r>
    </w:p>
    <w:bookmarkStart w:id="47" w:name="P47"/>
    <w:bookmarkEnd w:id="47"/>
    <w:p>
      <w:pPr>
        <w:pStyle w:val="2"/>
        <w:jc w:val="center"/>
      </w:pPr>
      <w:r>
        <w:rPr>
          <w:sz w:val="20"/>
        </w:rPr>
        <w:t xml:space="preserve">ПОЛОЖЕНИЕ</w:t>
      </w:r>
    </w:p>
    <w:p>
      <w:pPr>
        <w:pStyle w:val="2"/>
        <w:jc w:val="center"/>
      </w:pPr>
      <w:r>
        <w:rPr>
          <w:sz w:val="20"/>
        </w:rPr>
        <w:t xml:space="preserve">О ФОРМИРОВАНИИ ГОСУДАРСТВЕННОГО ЗАДАНИЯ НА ОКАЗАНИЕ</w:t>
      </w:r>
    </w:p>
    <w:p>
      <w:pPr>
        <w:pStyle w:val="2"/>
        <w:jc w:val="center"/>
      </w:pPr>
      <w:r>
        <w:rPr>
          <w:sz w:val="20"/>
        </w:rPr>
        <w:t xml:space="preserve">ГОСУДАРСТВЕННЫХ УСЛУГ (ВЫПОЛНЕНИЕ РАБОТ) В ОТНОШЕНИИ</w:t>
      </w:r>
    </w:p>
    <w:p>
      <w:pPr>
        <w:pStyle w:val="2"/>
        <w:jc w:val="center"/>
      </w:pPr>
      <w:r>
        <w:rPr>
          <w:sz w:val="20"/>
        </w:rPr>
        <w:t xml:space="preserve">ФЕДЕРАЛЬНЫХ ГОСУДАРСТВЕННЫХ УЧРЕЖДЕНИЙ И ФИНАНСОВОМ</w:t>
      </w:r>
    </w:p>
    <w:p>
      <w:pPr>
        <w:pStyle w:val="2"/>
        <w:jc w:val="center"/>
      </w:pPr>
      <w:r>
        <w:rPr>
          <w:sz w:val="20"/>
        </w:rPr>
        <w:t xml:space="preserve">ОБЕСПЕЧЕНИИ ВЫПОЛНЕНИЯ ГОСУДАРСТВЕННОГО ЗАДАНИЯ</w:t>
      </w:r>
    </w:p>
    <w:p>
      <w:pPr>
        <w:pStyle w:val="0"/>
        <w:jc w:val="both"/>
      </w:pPr>
      <w:r>
        <w:rPr>
          <w:sz w:val="20"/>
        </w:rPr>
      </w:r>
    </w:p>
    <w:p>
      <w:pPr>
        <w:pStyle w:val="0"/>
        <w:ind w:firstLine="540"/>
        <w:jc w:val="both"/>
      </w:pPr>
      <w:r>
        <w:rPr>
          <w:sz w:val="20"/>
        </w:rPr>
        <w:t xml:space="preserve">1. Настоящее Положение устанавливает порядок формирования и финансового обеспечения выполнения государственного задания на оказание государственных услуг (выполнение работ) (далее - государственное задание) федеральными бюджетными учреждениями, автономными учреждениями, созданными на базе имущества, находящегося в федеральной собственности (далее - федеральные автономные учреждения), а также федеральными казенными учреждениями, определенными правовыми актами главных распорядителей средств федерального бюджета, в ведении которых находятся федеральные казенные учреждения (далее - федеральные казенные учреждения).</w:t>
      </w:r>
    </w:p>
    <w:p>
      <w:pPr>
        <w:pStyle w:val="0"/>
        <w:jc w:val="both"/>
      </w:pPr>
      <w:r>
        <w:rPr>
          <w:sz w:val="20"/>
        </w:rPr>
      </w:r>
    </w:p>
    <w:p>
      <w:pPr>
        <w:pStyle w:val="2"/>
        <w:outlineLvl w:val="1"/>
        <w:jc w:val="center"/>
      </w:pPr>
      <w:r>
        <w:rPr>
          <w:sz w:val="20"/>
        </w:rPr>
        <w:t xml:space="preserve">I. Формирование (изменение) государственного задания</w:t>
      </w:r>
    </w:p>
    <w:p>
      <w:pPr>
        <w:pStyle w:val="0"/>
        <w:jc w:val="both"/>
      </w:pPr>
      <w:r>
        <w:rPr>
          <w:sz w:val="20"/>
        </w:rPr>
      </w:r>
    </w:p>
    <w:p>
      <w:pPr>
        <w:pStyle w:val="0"/>
        <w:ind w:firstLine="540"/>
        <w:jc w:val="both"/>
      </w:pPr>
      <w:r>
        <w:rPr>
          <w:sz w:val="20"/>
        </w:rPr>
        <w:t xml:space="preserve">2. Государственное задание формируется в соответствии с основными видами деятельности, предусмотренными учредительными документами федерального государственного учреждения, с учетом предложений федерального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федерального государственного учреждения по оказанию услуг и выполнению работ, а также показателей выполнения федеральным государственным учреждением государственного задания в отчетном финансовом году.</w:t>
      </w:r>
    </w:p>
    <w:p>
      <w:pPr>
        <w:pStyle w:val="0"/>
        <w:spacing w:before="200" w:lineRule="auto"/>
        <w:ind w:firstLine="540"/>
        <w:jc w:val="both"/>
      </w:pPr>
      <w:r>
        <w:rPr>
          <w:sz w:val="20"/>
        </w:rPr>
        <w:t xml:space="preserve">3. Государственное задание содержит показатели, характеризующие качество и (или) объем государственной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государственного задания и требования к отчетности о выполнении государственного задания.</w:t>
      </w:r>
    </w:p>
    <w:p>
      <w:pPr>
        <w:pStyle w:val="0"/>
        <w:spacing w:before="200" w:lineRule="auto"/>
        <w:ind w:firstLine="540"/>
        <w:jc w:val="both"/>
      </w:pPr>
      <w:r>
        <w:rPr>
          <w:sz w:val="20"/>
        </w:rPr>
        <w:t xml:space="preserve">Значение объемов государственных услуг для образовательных организаций высшего и среднего профессионального образования устанавливается на очередной финансовый год и плановый период и корректируется ежегодно в соответствии с </w:t>
      </w:r>
      <w:hyperlink w:history="0" r:id="rId23" w:tooltip="Приказ Минобрнауки России от 25.10.2023 N 1014 &quot;Об утверждении методики формирования государственного задания при оказании услуг в рамках реализации образовательных программ среднего профессионального образования и высшего образования на очередной финансовый год и плановый период&quot; (Зарегистрировано в Минюсте России 27.03.2024 N 77648) {КонсультантПлюс}">
        <w:r>
          <w:rPr>
            <w:sz w:val="20"/>
            <w:color w:val="0000ff"/>
          </w:rPr>
          <w:t xml:space="preserve">методикой</w:t>
        </w:r>
      </w:hyperlink>
      <w:r>
        <w:rPr>
          <w:sz w:val="20"/>
        </w:rPr>
        <w:t xml:space="preserve"> формирования государственного задания при оказании услуг в рамках реализации образовательных программ среднего профессионального образования и высшего образования на очередной финансовый год и плановый период, утверждаемой Министерством науки и высшего образования Российской Федерации по согласованию с Министерством просвещения Российской Федерации, с учетом результатов ежегодного конкурса по распределению контрольных цифр приема граждан и численности обучающихся, определенной за год (среднегодовой контингент).</w:t>
      </w:r>
    </w:p>
    <w:p>
      <w:pPr>
        <w:pStyle w:val="0"/>
        <w:spacing w:before="200" w:lineRule="auto"/>
        <w:ind w:firstLine="540"/>
        <w:jc w:val="both"/>
      </w:pPr>
      <w:r>
        <w:rPr>
          <w:sz w:val="20"/>
        </w:rPr>
        <w:t xml:space="preserve">Государственное задание формируется согласно </w:t>
      </w:r>
      <w:hyperlink w:history="0" w:anchor="P283" w:tooltip="                      ГОСУДАРСТВЕННОЕ ЗАДАНИЕ N &lt;1&gt;      │    │">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При установлении федеральному государственному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содержит требования к оказанию одной государственной услуги (выполнению одной работы).</w:t>
      </w:r>
    </w:p>
    <w:p>
      <w:pPr>
        <w:pStyle w:val="0"/>
        <w:spacing w:before="200" w:lineRule="auto"/>
        <w:ind w:firstLine="540"/>
        <w:jc w:val="both"/>
      </w:pPr>
      <w:r>
        <w:rPr>
          <w:sz w:val="20"/>
        </w:rPr>
        <w:t xml:space="preserve">При установлении федеральному государственному учреждению государственного задания на оказание государственной услуги (услуг) и выполнение работы (работ) государственное </w:t>
      </w:r>
      <w:hyperlink w:history="0" w:anchor="P283" w:tooltip="                      ГОСУДАРСТВЕННОЕ ЗАДАНИЕ N &lt;1&gt;      │    │">
        <w:r>
          <w:rPr>
            <w:sz w:val="20"/>
            <w:color w:val="0000ff"/>
          </w:rPr>
          <w:t xml:space="preserve">задание</w:t>
        </w:r>
      </w:hyperlink>
      <w:r>
        <w:rPr>
          <w:sz w:val="20"/>
        </w:rPr>
        <w:t xml:space="preserve"> формируется из 2 частей, каждая из которых должна содержать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w:t>
      </w:r>
      <w:hyperlink w:history="0" w:anchor="P283" w:tooltip="                      ГОСУДАРСТВЕННОЕ ЗАДАНИЕ N &lt;1&gt;      │    │">
        <w:r>
          <w:rPr>
            <w:sz w:val="20"/>
            <w:color w:val="0000ff"/>
          </w:rPr>
          <w:t xml:space="preserve">3-ю часть</w:t>
        </w:r>
      </w:hyperlink>
      <w:r>
        <w:rPr>
          <w:sz w:val="20"/>
        </w:rPr>
        <w:t xml:space="preserve"> государственного задания.</w:t>
      </w:r>
    </w:p>
    <w:p>
      <w:pPr>
        <w:pStyle w:val="0"/>
        <w:spacing w:before="200" w:lineRule="auto"/>
        <w:ind w:firstLine="540"/>
        <w:jc w:val="both"/>
      </w:pPr>
      <w:r>
        <w:rPr>
          <w:sz w:val="20"/>
        </w:rPr>
        <w:t xml:space="preserve">В государственном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федеральным законом, в отношении отдельной государственной услуги (работы) либо общее допустимое (возможное) отклонение - в отношении государственного задания или его части.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w:t>
      </w:r>
    </w:p>
    <w:p>
      <w:pPr>
        <w:pStyle w:val="0"/>
        <w:spacing w:before="200" w:lineRule="auto"/>
        <w:ind w:firstLine="540"/>
        <w:jc w:val="both"/>
      </w:pPr>
      <w:hyperlink w:history="0" r:id="rId24"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Порядок</w:t>
        </w:r>
      </w:hyperlink>
      <w:r>
        <w:rPr>
          <w:sz w:val="20"/>
        </w:rPr>
        <w:t xml:space="preserve"> определения и применения значений допустимых (возможных) отклонений устанавливается правовым актом федерального органа исполнительной власти (государственного органа), осуществляющего функции и полномочия учредителя в отношении федеральных бюджетных или автономных учреждений.</w:t>
      </w:r>
    </w:p>
    <w:p>
      <w:pPr>
        <w:pStyle w:val="0"/>
        <w:spacing w:before="200" w:lineRule="auto"/>
        <w:ind w:firstLine="540"/>
        <w:jc w:val="both"/>
      </w:pPr>
      <w:r>
        <w:rPr>
          <w:sz w:val="20"/>
        </w:rPr>
        <w:t xml:space="preserve">4. Государственное задание, не содержащее сведений, составляющих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формируется в форме электронного документа в установленном порядке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том числе посредством информационного взаимодействия с иными информационными системами федеральных органов исполнительной власти (государственных органов), осуществляющих функции и полномочия учредителей в отношении федеральных бюджетных или автономных учреждений, если иное не установлено федеральными законами и нормативными правовыми актами Президента Российской Федерации и Правительства Российской Федерации (далее - органы, осуществляющие функции и полномочия учредителя), главных распорядителей средств федерального бюджета, в ведении которых находятся федеральные казенные учреждения (в случае утверждения федеральному казенному учреждению государственного задания), и подписывается усиленной квалифицированной электронной подписью лица, имеющего право действовать от имени главного распорядителя средств федерального бюджета, в ведении которого находится федеральное казенное учреждение (при утверждении федеральному казенному учреждению государственного задания), либо органа исполнительной власти, осуществляющего функции и полномочия учредителя.</w:t>
      </w:r>
    </w:p>
    <w:p>
      <w:pPr>
        <w:pStyle w:val="0"/>
        <w:spacing w:before="200" w:lineRule="auto"/>
        <w:ind w:firstLine="540"/>
        <w:jc w:val="both"/>
      </w:pPr>
      <w:r>
        <w:rPr>
          <w:sz w:val="20"/>
        </w:rPr>
        <w:t xml:space="preserve">Предварительный отчет о выполнении государственного задания и отчет о выполнении государственного задания, указанные в </w:t>
      </w:r>
      <w:hyperlink w:history="0" w:anchor="P232" w:tooltip="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
        <w:r>
          <w:rPr>
            <w:sz w:val="20"/>
            <w:color w:val="0000ff"/>
          </w:rPr>
          <w:t xml:space="preserve">пунктах 46</w:t>
        </w:r>
      </w:hyperlink>
      <w:r>
        <w:rPr>
          <w:sz w:val="20"/>
        </w:rPr>
        <w:t xml:space="preserve"> и </w:t>
      </w:r>
      <w:hyperlink w:history="0" w:anchor="P243"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приложением N 2 к настоящему Положению, в соответствии с требованиями, установленными в государственном задании.">
        <w:r>
          <w:rPr>
            <w:sz w:val="20"/>
            <w:color w:val="0000ff"/>
          </w:rPr>
          <w:t xml:space="preserve">47</w:t>
        </w:r>
      </w:hyperlink>
      <w:r>
        <w:rPr>
          <w:sz w:val="20"/>
        </w:rPr>
        <w:t xml:space="preserve"> настоящего Положения, не содержащие сведений, составляющих государственную тайну, формируются в системе "Электронный бюджет" в том числе посредством информационного взаимодействия с иными информационными системами органов, осуществляющих функции и полномочия учредителей (главных распорядителей средств федерального бюджета, в ведении которых находятся федеральные казенные учреждения в случае утверждения федеральному казенному учреждению государственного задания).</w:t>
      </w:r>
    </w:p>
    <w:p>
      <w:pPr>
        <w:pStyle w:val="0"/>
        <w:spacing w:before="200" w:lineRule="auto"/>
        <w:ind w:firstLine="540"/>
        <w:jc w:val="both"/>
      </w:pPr>
      <w:r>
        <w:rPr>
          <w:sz w:val="20"/>
        </w:rPr>
        <w:t xml:space="preserve">Информационное взаимодействие системы "Электронный бюджет" с информационными системами органов, осуществляющих функции и полномочия учредителя, осуществляется в соответствии с </w:t>
      </w:r>
      <w:hyperlink w:history="0" r:id="rId25"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Положением</w:t>
        </w:r>
      </w:hyperlink>
      <w:r>
        <w:rPr>
          <w:sz w:val="20"/>
        </w:rP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Регламент обмена информацией между системой "Электронный бюджет" и иными информационными системами в целях формирования государственного задания, не содержащего сведений, составляющих государственную тайну, устанавливается Министерством финансов Российской Федерации.</w:t>
      </w:r>
    </w:p>
    <w:p>
      <w:pPr>
        <w:pStyle w:val="0"/>
        <w:spacing w:before="200" w:lineRule="auto"/>
        <w:ind w:firstLine="540"/>
        <w:jc w:val="both"/>
      </w:pPr>
      <w:r>
        <w:rPr>
          <w:sz w:val="20"/>
        </w:rPr>
        <w:t xml:space="preserve">Государственное задание федеральному государственному учреждению, устав которого утвержден нормативным правовым актом Президента Российской Федерации, формируется и утверждается в порядке, установленном настоящим Положением, если иное не предусмотрено уставом указанного учреждения.</w:t>
      </w:r>
    </w:p>
    <w:p>
      <w:pPr>
        <w:pStyle w:val="0"/>
        <w:spacing w:before="200" w:lineRule="auto"/>
        <w:ind w:firstLine="540"/>
        <w:jc w:val="both"/>
      </w:pPr>
      <w:r>
        <w:rPr>
          <w:sz w:val="20"/>
        </w:rPr>
        <w:t xml:space="preserve">Государственное задание федеральным бюджетным и автономным учреждениям, функции и полномочия учредителя в отношении которых осуществляет Правительство Российской Федерации, если иное не предусмотрено уставом федерального бюджетного и автономного учреждения, формируется в системе "Электронный бюджет" федеральным органом исполнительной власти, осуществляющим отдельные функции и полномочия учредителя в отношении таких учреждений, и утверждается Правительством Российской Федерации.</w:t>
      </w:r>
    </w:p>
    <w:p>
      <w:pPr>
        <w:pStyle w:val="0"/>
        <w:spacing w:before="200" w:lineRule="auto"/>
        <w:ind w:firstLine="540"/>
        <w:jc w:val="both"/>
      </w:pPr>
      <w:r>
        <w:rPr>
          <w:sz w:val="20"/>
        </w:rPr>
        <w:t xml:space="preserve">При формировании государственного задания, не содержащего сведений, составляющих государственную тайну,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w:t>
      </w:r>
    </w:p>
    <w:p>
      <w:pPr>
        <w:pStyle w:val="0"/>
        <w:spacing w:before="200" w:lineRule="auto"/>
        <w:ind w:firstLine="540"/>
        <w:jc w:val="both"/>
      </w:pPr>
      <w:r>
        <w:rPr>
          <w:sz w:val="20"/>
        </w:rPr>
        <w:t xml:space="preserve">Государственное задание, содержащее сведения, составляющие государственную тайну, формируется в форме бумажного документа с соблюдением законодательства Российской Федерации о государственной тайне.</w:t>
      </w:r>
    </w:p>
    <w:p>
      <w:pPr>
        <w:pStyle w:val="0"/>
        <w:spacing w:before="200" w:lineRule="auto"/>
        <w:ind w:firstLine="540"/>
        <w:jc w:val="both"/>
      </w:pPr>
      <w:r>
        <w:rPr>
          <w:sz w:val="20"/>
        </w:rPr>
        <w:t xml:space="preserve">5. Государственное задание формируется в процессе формирования федерального бюджета на очередной финансовый год и плановый период и утверждается не позднее 15 рабочих дней со дня отражения на лицевом счете главного распорядителя бюджетных средств, открытом соответствующему главному распорядителю средств федерального бюджета, лимитов бюджетных обязательств на финансовое обеспечение выполнения государственного задания в отношении:</w:t>
      </w:r>
    </w:p>
    <w:p>
      <w:pPr>
        <w:pStyle w:val="0"/>
        <w:spacing w:before="200" w:lineRule="auto"/>
        <w:ind w:firstLine="540"/>
        <w:jc w:val="both"/>
      </w:pPr>
      <w:r>
        <w:rPr>
          <w:sz w:val="20"/>
        </w:rPr>
        <w:t xml:space="preserve">а) федеральных казенных учреждений - главными распорядителями средств федерального бюджета, в ведении которых находятся федеральные казенные учреждения;</w:t>
      </w:r>
    </w:p>
    <w:p>
      <w:pPr>
        <w:pStyle w:val="0"/>
        <w:spacing w:before="200" w:lineRule="auto"/>
        <w:ind w:firstLine="540"/>
        <w:jc w:val="both"/>
      </w:pPr>
      <w:r>
        <w:rPr>
          <w:sz w:val="20"/>
        </w:rPr>
        <w:t xml:space="preserve">б) федеральных бюджетных или автономных учреждений - органами, осуществляющими функции и полномочия учредителя.</w:t>
      </w:r>
    </w:p>
    <w:p>
      <w:pPr>
        <w:pStyle w:val="0"/>
        <w:spacing w:before="200" w:lineRule="auto"/>
        <w:ind w:firstLine="540"/>
        <w:jc w:val="both"/>
      </w:pPr>
      <w:r>
        <w:rPr>
          <w:sz w:val="20"/>
        </w:rPr>
        <w:t xml:space="preserve">6. Государственное </w:t>
      </w:r>
      <w:hyperlink w:history="0" w:anchor="P283" w:tooltip="                      ГОСУДАРСТВЕННОЕ ЗАДАНИЕ N &lt;1&gt;      │    │">
        <w:r>
          <w:rPr>
            <w:sz w:val="20"/>
            <w:color w:val="0000ff"/>
          </w:rPr>
          <w:t xml:space="preserve">задание</w:t>
        </w:r>
      </w:hyperlink>
      <w:r>
        <w:rPr>
          <w:sz w:val="20"/>
        </w:rPr>
        <w:t xml:space="preserve"> утверждается на срок, соответствующий установленному бюджетным законодательством Российской Федерации сроку формирования федерального бюджета.</w:t>
      </w:r>
    </w:p>
    <w:p>
      <w:pPr>
        <w:pStyle w:val="0"/>
        <w:spacing w:before="200" w:lineRule="auto"/>
        <w:ind w:firstLine="540"/>
        <w:jc w:val="both"/>
      </w:pPr>
      <w:r>
        <w:rPr>
          <w:sz w:val="20"/>
        </w:rPr>
        <w:t xml:space="preserve">В случае внесения изменений в показатели государственного задания формируется новое государственное </w:t>
      </w:r>
      <w:hyperlink w:history="0" w:anchor="P283" w:tooltip="                      ГОСУДАРСТВЕННОЕ ЗАДАНИЕ N &lt;1&gt;      │    │">
        <w:r>
          <w:rPr>
            <w:sz w:val="20"/>
            <w:color w:val="0000ff"/>
          </w:rPr>
          <w:t xml:space="preserve">задание</w:t>
        </w:r>
      </w:hyperlink>
      <w:r>
        <w:rPr>
          <w:sz w:val="20"/>
        </w:rPr>
        <w:t xml:space="preserve"> (с учетом внесенных изменений) в соответствии с положениями настоящего раздела.</w:t>
      </w:r>
    </w:p>
    <w:p>
      <w:pPr>
        <w:pStyle w:val="0"/>
        <w:spacing w:before="200" w:lineRule="auto"/>
        <w:ind w:firstLine="540"/>
        <w:jc w:val="both"/>
      </w:pPr>
      <w:r>
        <w:rPr>
          <w:sz w:val="20"/>
        </w:rPr>
        <w:t xml:space="preserve">В случае внесения изменений в показатели государственного задания федеральным бюджетным и автономным учреждениям, функции и полномочия учредителя в отношении которых осуществляет Правительство Российской Федерации, если иное не предусмотрено уставом федерального бюджетного и автономного учреждения, в системе "Электронный бюджет" формируется новое государственное задание (с учетом внесенных изменений) в соответствии с положениями настоящего раздела федеральным органом исполнительной власти, осуществляющим отдельные функции и полномочия учредителя в отношении таких учреждений, и такие изменения утверждаются Правительством Российской Федерации.</w:t>
      </w:r>
    </w:p>
    <w:p>
      <w:pPr>
        <w:pStyle w:val="0"/>
        <w:spacing w:before="200" w:lineRule="auto"/>
        <w:ind w:firstLine="540"/>
        <w:jc w:val="both"/>
      </w:pPr>
      <w:r>
        <w:rPr>
          <w:sz w:val="20"/>
        </w:rPr>
        <w:t xml:space="preserve">При изменении подведомственности федерального государственного учреждения в государственном задании подлежит изменению информация, включенная в 3-ю часть государственного задания, в том числе в части уточнения положений о периодичности и сроках представления отчетов о выполнении государственного задания, сроков представления предварительного отчета о выполнении государственного задания, а также порядка осуществления контроля за выполнением государственного задания.</w:t>
      </w:r>
    </w:p>
    <w:p>
      <w:pPr>
        <w:pStyle w:val="0"/>
        <w:spacing w:before="200" w:lineRule="auto"/>
        <w:ind w:firstLine="540"/>
        <w:jc w:val="both"/>
      </w:pPr>
      <w:r>
        <w:rPr>
          <w:sz w:val="20"/>
        </w:rPr>
        <w:t xml:space="preserve">При реорганизации федерального государственного учреждения (слияние, присоединение, выделение, разделение) государственное задание подлежит изменению в части уточнения показателей государственного задания.</w:t>
      </w:r>
    </w:p>
    <w:p>
      <w:pPr>
        <w:pStyle w:val="0"/>
        <w:spacing w:before="200" w:lineRule="auto"/>
        <w:ind w:firstLine="540"/>
        <w:jc w:val="both"/>
      </w:pPr>
      <w:r>
        <w:rPr>
          <w:sz w:val="20"/>
        </w:rPr>
        <w:t xml:space="preserve">При реорганизации федерального государственного учреждения в форме слияния, присоединения показатели государственного задания федеральных государственных учреждений - правопреемников формируются с учетом показателей государственных заданий реорганизуемых федеральных государственных учреждений, прекращающих свою деятельность, путем суммирования (построчного объединения) показателей государственных заданий реорганизованных учреждений.</w:t>
      </w:r>
    </w:p>
    <w:p>
      <w:pPr>
        <w:pStyle w:val="0"/>
        <w:spacing w:before="200" w:lineRule="auto"/>
        <w:ind w:firstLine="540"/>
        <w:jc w:val="both"/>
      </w:pPr>
      <w:r>
        <w:rPr>
          <w:sz w:val="20"/>
        </w:rPr>
        <w:t xml:space="preserve">При реорганизации федерального государственного учреждения в форме выделения показатели государственного задания федерального государственного учреждения, реорганизованного путем выделения из него других федеральных государственных учреждений, подлежат уменьшению на показатели государственных заданий вновь возникших юридических лиц.</w:t>
      </w:r>
    </w:p>
    <w:p>
      <w:pPr>
        <w:pStyle w:val="0"/>
        <w:spacing w:before="200" w:lineRule="auto"/>
        <w:ind w:firstLine="540"/>
        <w:jc w:val="both"/>
      </w:pPr>
      <w:r>
        <w:rPr>
          <w:sz w:val="20"/>
        </w:rPr>
        <w:t xml:space="preserve">При реорганизации федерального государственного учреждения в форме разделения показатели государственных заданий вновь возникших юридических лиц формируются путем разделения соответствующих показателей государственного задания реорганизованного федерального государственного учреждения, прекращающего свою деятельность.</w:t>
      </w:r>
    </w:p>
    <w:p>
      <w:pPr>
        <w:pStyle w:val="0"/>
        <w:spacing w:before="200" w:lineRule="auto"/>
        <w:ind w:firstLine="540"/>
        <w:jc w:val="both"/>
      </w:pPr>
      <w:r>
        <w:rPr>
          <w:sz w:val="20"/>
        </w:rPr>
        <w:t xml:space="preserve">Показатели государственных заданий федеральных государственных учреждений, прекращающих свою деятельность в результате реорганизации, принимают нулевые значения.</w:t>
      </w:r>
    </w:p>
    <w:p>
      <w:pPr>
        <w:pStyle w:val="0"/>
        <w:spacing w:before="200" w:lineRule="auto"/>
        <w:ind w:firstLine="540"/>
        <w:jc w:val="both"/>
      </w:pPr>
      <w:r>
        <w:rPr>
          <w:sz w:val="20"/>
        </w:rPr>
        <w:t xml:space="preserve">Показатели государственных заданий реорганизованных федеральных государственных учреждений, за исключением федеральных государственных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государственных заданий указанных федеральных государственных учреждений до начала их реорганизации.</w:t>
      </w:r>
    </w:p>
    <w:bookmarkStart w:id="86" w:name="P86"/>
    <w:bookmarkEnd w:id="86"/>
    <w:p>
      <w:pPr>
        <w:pStyle w:val="0"/>
        <w:spacing w:before="200" w:lineRule="auto"/>
        <w:ind w:firstLine="540"/>
        <w:jc w:val="both"/>
      </w:pPr>
      <w:r>
        <w:rPr>
          <w:sz w:val="20"/>
        </w:rPr>
        <w:t xml:space="preserve">7.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w:t>
      </w:r>
      <w:hyperlink w:history="0" w:anchor="P846" w:tooltip="                     РАСПРЕДЕЛЕНИЕ ПОКАЗАТЕЛЕЙ ОБЪЕМА">
        <w:r>
          <w:rPr>
            <w:sz w:val="20"/>
            <w:color w:val="0000ff"/>
          </w:rPr>
          <w:t xml:space="preserve">форме</w:t>
        </w:r>
      </w:hyperlink>
      <w:r>
        <w:rPr>
          <w:sz w:val="20"/>
        </w:rPr>
        <w:t xml:space="preserve">, установленной для государственного задания, согласно приложению N 1(1) органом, осуществляющим функции и полномочия учредителя, - в отношении федеральных бюджетных или автономных учреждений или главными распорядителями средств федерального бюджета, в ведении которых находятся федеральные казенные учреждения, - в отношении указанных учреждений.</w:t>
      </w:r>
    </w:p>
    <w:p>
      <w:pPr>
        <w:pStyle w:val="0"/>
        <w:spacing w:before="200" w:lineRule="auto"/>
        <w:ind w:firstLine="540"/>
        <w:jc w:val="both"/>
      </w:pPr>
      <w:r>
        <w:rPr>
          <w:sz w:val="20"/>
        </w:rPr>
        <w:t xml:space="preserve">По решению указанных в </w:t>
      </w:r>
      <w:hyperlink w:history="0" w:anchor="P86" w:tooltip="7.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 установленной для государственного задания, согласно приложению N 1(1) органом, осуществляющим функции и полномочия учредителя, - в отношении федеральных ...">
        <w:r>
          <w:rPr>
            <w:sz w:val="20"/>
            <w:color w:val="0000ff"/>
          </w:rPr>
          <w:t xml:space="preserve">абзаце первом</w:t>
        </w:r>
      </w:hyperlink>
      <w:r>
        <w:rPr>
          <w:sz w:val="20"/>
        </w:rPr>
        <w:t xml:space="preserve"> настоящего пункта органа, осуществляющего функции и полномочия учредителя, главного распорядителя средств федерального бюджета соответственно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самостоятельно федеральным государственным учреждением в соответствии с положениями настоящего раздела по </w:t>
      </w:r>
      <w:hyperlink w:history="0" w:anchor="P846" w:tooltip="                     РАСПРЕДЕЛЕНИЕ ПОКАЗАТЕЛЕЙ ОБЪЕМА">
        <w:r>
          <w:rPr>
            <w:sz w:val="20"/>
            <w:color w:val="0000ff"/>
          </w:rPr>
          <w:t xml:space="preserve">форме</w:t>
        </w:r>
      </w:hyperlink>
      <w:r>
        <w:rPr>
          <w:sz w:val="20"/>
        </w:rPr>
        <w:t xml:space="preserve">, установленной для государственного задания, предусмотренной приложением N 1(1) к настоящему Положению.</w:t>
      </w:r>
    </w:p>
    <w:p>
      <w:pPr>
        <w:pStyle w:val="0"/>
        <w:spacing w:before="200" w:lineRule="auto"/>
        <w:ind w:firstLine="540"/>
        <w:jc w:val="both"/>
      </w:pPr>
      <w:r>
        <w:rPr>
          <w:sz w:val="20"/>
        </w:rPr>
        <w:t xml:space="preserve">8. Государственное </w:t>
      </w:r>
      <w:hyperlink w:history="0" w:anchor="P283" w:tooltip="                      ГОСУДАРСТВЕННОЕ ЗАДАНИЕ N &lt;1&gt;      │    │">
        <w:r>
          <w:rPr>
            <w:sz w:val="20"/>
            <w:color w:val="0000ff"/>
          </w:rPr>
          <w:t xml:space="preserve">задание</w:t>
        </w:r>
      </w:hyperlink>
      <w:r>
        <w:rPr>
          <w:sz w:val="20"/>
        </w:rPr>
        <w:t xml:space="preserve"> формируется на оказание государственных услуг (выполнение работ), определенных в качестве основных видов деятельности федеральных государственных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федеральных перечнях (классификаторах)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 (далее - федеральные перечни), утвержденных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bookmarkStart w:id="89" w:name="P89"/>
    <w:bookmarkEnd w:id="89"/>
    <w:p>
      <w:pPr>
        <w:pStyle w:val="0"/>
        <w:spacing w:before="200" w:lineRule="auto"/>
        <w:ind w:firstLine="540"/>
        <w:jc w:val="both"/>
      </w:pPr>
      <w:r>
        <w:rPr>
          <w:sz w:val="20"/>
        </w:rPr>
        <w:t xml:space="preserve">Государственное задание на выполнение работ по проведению научных исследований (разработок) формируется федеральными органами исполнительной власти в отношении подведомственных федеральных государственных учреждений только по тем научным темам, целесообразность финансирования за счет средств федерального бюджета которых в установленном порядке определена федеральным государственным бюджетным учреждением "Российская академия наук".</w:t>
      </w:r>
    </w:p>
    <w:p>
      <w:pPr>
        <w:pStyle w:val="0"/>
        <w:spacing w:before="200" w:lineRule="auto"/>
        <w:ind w:firstLine="540"/>
        <w:jc w:val="both"/>
      </w:pPr>
      <w:r>
        <w:rPr>
          <w:sz w:val="20"/>
        </w:rPr>
        <w:t xml:space="preserve">Научные темы научных исследований (разработок), содержащиеся в государственном задании на текущий финансовый год и плановый период, не включаются в государственное задание при его формировании на очередной финансовый год и плановый период в случае получения в установленном порядке в текущем финансовом году заключений федерального государственного бюджетного учреждения "Российская академия наук" по отчетам научных организаций и образовательных организаций высшего образования о проведенных научных исследованиях, полученных научных и (или) научно-технических результатах за отчетный финансовый год, содержащих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 при одном из условий:</w:t>
      </w:r>
    </w:p>
    <w:p>
      <w:pPr>
        <w:pStyle w:val="0"/>
        <w:spacing w:before="200" w:lineRule="auto"/>
        <w:ind w:firstLine="540"/>
        <w:jc w:val="both"/>
      </w:pPr>
      <w:r>
        <w:rPr>
          <w:sz w:val="20"/>
        </w:rPr>
        <w:t xml:space="preserve">если указанные отчеты не были скорректированы с учетом заключений федерального государственного бюджетного учреждения "Российская академия наук", содержащих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 и повторно направлены в федеральное государственное бюджетное учреждение "Российская академия наук";</w:t>
      </w:r>
    </w:p>
    <w:p>
      <w:pPr>
        <w:pStyle w:val="0"/>
        <w:spacing w:before="200" w:lineRule="auto"/>
        <w:ind w:firstLine="540"/>
        <w:jc w:val="both"/>
      </w:pPr>
      <w:r>
        <w:rPr>
          <w:sz w:val="20"/>
        </w:rPr>
        <w:t xml:space="preserve">если по указанным отчетам, скорректированным с учетом заключений федерального государственного бюджетного учреждения "Российская академия наук", содержащих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 повторно получены заключения федерального государственного бюджетного учреждения "Российская академия наук", содержащие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w:t>
      </w:r>
    </w:p>
    <w:bookmarkStart w:id="93" w:name="P93"/>
    <w:bookmarkEnd w:id="93"/>
    <w:p>
      <w:pPr>
        <w:pStyle w:val="0"/>
        <w:spacing w:before="200" w:lineRule="auto"/>
        <w:ind w:firstLine="540"/>
        <w:jc w:val="both"/>
      </w:pPr>
      <w:r>
        <w:rPr>
          <w:sz w:val="20"/>
        </w:rPr>
        <w:t xml:space="preserve">Государственное задание на выполнение работ по проведению научных исследований (разработок) должно содержать запланированные к достижению по завершении текущего финансового года результаты выполнения научных тем научных исследований (разработок).</w:t>
      </w:r>
    </w:p>
    <w:p>
      <w:pPr>
        <w:pStyle w:val="0"/>
        <w:spacing w:before="200" w:lineRule="auto"/>
        <w:ind w:firstLine="540"/>
        <w:jc w:val="both"/>
      </w:pPr>
      <w:r>
        <w:rPr>
          <w:sz w:val="20"/>
        </w:rPr>
        <w:t xml:space="preserve">Требования, установленные </w:t>
      </w:r>
      <w:hyperlink w:history="0" w:anchor="P89" w:tooltip="Государственное задание на выполнение работ по проведению научных исследований (разработок) формируется федеральными органами исполнительной власти в отношении подведомственных федеральных государственных учреждений только по тем научным темам, целесообразность финансирования за счет средств федерального бюджета которых в установленном порядке определена федеральным государственным бюджетным учреждением &quot;Российская академия наук&quot;.">
        <w:r>
          <w:rPr>
            <w:sz w:val="20"/>
            <w:color w:val="0000ff"/>
          </w:rPr>
          <w:t xml:space="preserve">абзацами вторым</w:t>
        </w:r>
      </w:hyperlink>
      <w:r>
        <w:rPr>
          <w:sz w:val="20"/>
        </w:rPr>
        <w:t xml:space="preserve"> - </w:t>
      </w:r>
      <w:hyperlink w:history="0" w:anchor="P93" w:tooltip="Государственное задание на выполнение работ по проведению научных исследований (разработок) должно содержать запланированные к достижению по завершении текущего финансового года результаты выполнения научных тем научных исследований (разработок).">
        <w:r>
          <w:rPr>
            <w:sz w:val="20"/>
            <w:color w:val="0000ff"/>
          </w:rPr>
          <w:t xml:space="preserve">шестым</w:t>
        </w:r>
      </w:hyperlink>
      <w:r>
        <w:rPr>
          <w:sz w:val="20"/>
        </w:rPr>
        <w:t xml:space="preserve"> настоящего пункта, не распространяются на научные исследования (разработки), проводимые организациями, подведомственными Министерству обороны Российской Федерации, Министерству внутренних дел Российской Федерации, Министерству иностранных дел Российской Федерации, Министерству Российской Федерации по делам гражданской обороны, чрезвычайным ситуациям и ликвидации последствий стихийных бедствий, Федеральной службе безопасности Российской Федерации, Федеральной службе по техническому и экспортному контролю, Федеральной службе войск национальной гвардии Российской Федерации, Федеральной службе исполнения наказаний, Федеральной службе охраны Российской Федерации и Федеральному медико-биологическому агентству.</w:t>
      </w:r>
    </w:p>
    <w:p>
      <w:pPr>
        <w:pStyle w:val="0"/>
        <w:spacing w:before="200" w:lineRule="auto"/>
        <w:ind w:firstLine="540"/>
        <w:jc w:val="both"/>
      </w:pPr>
      <w:r>
        <w:rPr>
          <w:sz w:val="20"/>
        </w:rPr>
        <w:t xml:space="preserve">9. Государственное задание,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 отчет о выполнении государственного задания, формируемый согласно </w:t>
      </w:r>
      <w:hyperlink w:history="0" w:anchor="P243"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приложением N 2 к настоящему Положению, в соответствии с требованиями, установленными в государственном задании.">
        <w:r>
          <w:rPr>
            <w:sz w:val="20"/>
            <w:color w:val="0000ff"/>
          </w:rPr>
          <w:t xml:space="preserve">пункту 47</w:t>
        </w:r>
      </w:hyperlink>
      <w:r>
        <w:rPr>
          <w:sz w:val="20"/>
        </w:rPr>
        <w:t xml:space="preserve"> настоящего Положения, не содержащие сведений, составляющих государственную тайну, включаются в реестр государственных заданий, ведение которого осуществляется в </w:t>
      </w:r>
      <w:hyperlink w:history="0" r:id="rId26" w:tooltip="Приказ Минфина России от 16.11.2015 N 177н (ред. от 25.02.2021) &quot;О порядке ведения реестра государственных заданий на оказание государственных услуг (выполнение работ)&quot; (Зарегистрировано в Минюсте России 16.12.2015 N 40117) {КонсультантПлюс}">
        <w:r>
          <w:rPr>
            <w:sz w:val="20"/>
            <w:color w:val="0000ff"/>
          </w:rPr>
          <w:t xml:space="preserve">порядке</w:t>
        </w:r>
      </w:hyperlink>
      <w:r>
        <w:rPr>
          <w:sz w:val="20"/>
        </w:rPr>
        <w:t xml:space="preserve">, установленном Министерством финансов Российской Федерации. Реестр государственных заданий размещается на едином портале бюджетной системы Российской Федерации.</w:t>
      </w:r>
    </w:p>
    <w:p>
      <w:pPr>
        <w:pStyle w:val="0"/>
        <w:spacing w:before="200" w:lineRule="auto"/>
        <w:ind w:firstLine="540"/>
        <w:jc w:val="both"/>
      </w:pPr>
      <w:r>
        <w:rPr>
          <w:sz w:val="20"/>
        </w:rPr>
        <w:t xml:space="preserve">10. Государственное задание,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 отчет о выполнении государственного задания, формируемый согласно </w:t>
      </w:r>
      <w:hyperlink w:history="0" w:anchor="P243"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приложением N 2 к настоящему Положению, в соответствии с требованиями, установленными в государственном задании.">
        <w:r>
          <w:rPr>
            <w:sz w:val="20"/>
            <w:color w:val="0000ff"/>
          </w:rPr>
          <w:t xml:space="preserve">пункту 47</w:t>
        </w:r>
      </w:hyperlink>
      <w:r>
        <w:rPr>
          <w:sz w:val="20"/>
        </w:rPr>
        <w:t xml:space="preserve"> настоящего Положения, не содержащие сведений, составляющих государственную тайну,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w:history="0" r:id="rId27">
        <w:r>
          <w:rPr>
            <w:sz w:val="20"/>
            <w:color w:val="0000ff"/>
          </w:rPr>
          <w:t xml:space="preserve">www.bus.gov.ru</w:t>
        </w:r>
      </w:hyperlink>
      <w:r>
        <w:rPr>
          <w:sz w:val="20"/>
        </w:rPr>
        <w:t xml:space="preserve">), а также могут быть размещены на официальных сайтах в информационно-телекоммуникационной сети "Интернет" главных распорядителей средств федерального бюджета, в ведении которых находятся федеральные казенные учреждения, и органов, осуществляющих функции и полномочия учредителя, и на официальных сайтах в информационно-телекоммуникационной сети "Интернет" федеральных государственных учреждений.</w:t>
      </w:r>
    </w:p>
    <w:p>
      <w:pPr>
        <w:pStyle w:val="0"/>
        <w:jc w:val="both"/>
      </w:pPr>
      <w:r>
        <w:rPr>
          <w:sz w:val="20"/>
        </w:rPr>
      </w:r>
    </w:p>
    <w:p>
      <w:pPr>
        <w:pStyle w:val="2"/>
        <w:outlineLvl w:val="1"/>
        <w:jc w:val="center"/>
      </w:pPr>
      <w:r>
        <w:rPr>
          <w:sz w:val="20"/>
        </w:rPr>
        <w:t xml:space="preserve">II. Финансовое обеспечение выполнения</w:t>
      </w:r>
    </w:p>
    <w:p>
      <w:pPr>
        <w:pStyle w:val="2"/>
        <w:jc w:val="center"/>
      </w:pPr>
      <w:r>
        <w:rPr>
          <w:sz w:val="20"/>
        </w:rPr>
        <w:t xml:space="preserve">государственного задания</w:t>
      </w:r>
    </w:p>
    <w:p>
      <w:pPr>
        <w:pStyle w:val="0"/>
        <w:jc w:val="both"/>
      </w:pPr>
      <w:r>
        <w:rPr>
          <w:sz w:val="20"/>
        </w:rPr>
      </w:r>
    </w:p>
    <w:bookmarkStart w:id="101" w:name="P101"/>
    <w:bookmarkEnd w:id="101"/>
    <w:p>
      <w:pPr>
        <w:pStyle w:val="0"/>
        <w:ind w:firstLine="540"/>
        <w:jc w:val="both"/>
      </w:pPr>
      <w:r>
        <w:rPr>
          <w:sz w:val="20"/>
        </w:rPr>
        <w:t xml:space="preserve">11.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федеральным государственным учреждением при выполнении государственного задания.</w:t>
      </w:r>
    </w:p>
    <w:bookmarkStart w:id="102" w:name="P102"/>
    <w:bookmarkEnd w:id="102"/>
    <w:p>
      <w:pPr>
        <w:pStyle w:val="0"/>
        <w:spacing w:before="200" w:lineRule="auto"/>
        <w:ind w:firstLine="540"/>
        <w:jc w:val="both"/>
      </w:pPr>
      <w:r>
        <w:rPr>
          <w:sz w:val="20"/>
        </w:rPr>
        <w:t xml:space="preserve">12. Объем финансового обеспечения выполнения государственного задания (R) определяется по формуле:</w:t>
      </w:r>
    </w:p>
    <w:p>
      <w:pPr>
        <w:pStyle w:val="0"/>
        <w:jc w:val="both"/>
      </w:pPr>
      <w:r>
        <w:rPr>
          <w:sz w:val="20"/>
        </w:rPr>
      </w:r>
    </w:p>
    <w:p>
      <w:pPr>
        <w:pStyle w:val="0"/>
        <w:jc w:val="center"/>
      </w:pPr>
      <w:r>
        <w:rPr>
          <w:position w:val="-11"/>
        </w:rPr>
        <w:drawing>
          <wp:inline distT="0" distB="0" distL="0" distR="0">
            <wp:extent cx="410527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4105275" cy="2667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нормативные затраты на оказание i-й государственной услуги, установленной государственным заданием;</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i-й государственной услуги, установленной государственным заданием;</w:t>
      </w:r>
    </w:p>
    <w:p>
      <w:pPr>
        <w:pStyle w:val="0"/>
        <w:spacing w:before="200" w:lineRule="auto"/>
        <w:ind w:firstLine="540"/>
        <w:jc w:val="both"/>
      </w:pPr>
      <w:r>
        <w:rPr>
          <w:sz w:val="20"/>
        </w:rPr>
        <w:t xml:space="preserve">N</w:t>
      </w:r>
      <w:r>
        <w:rPr>
          <w:sz w:val="20"/>
          <w:vertAlign w:val="subscript"/>
        </w:rPr>
        <w:t xml:space="preserve">w</w:t>
      </w:r>
      <w:r>
        <w:rPr>
          <w:sz w:val="20"/>
        </w:rPr>
        <w:t xml:space="preserve"> - нормативные затраты на выполнение w-й работы, установленной государственным заданием;</w:t>
      </w:r>
    </w:p>
    <w:p>
      <w:pPr>
        <w:pStyle w:val="0"/>
        <w:spacing w:before="200" w:lineRule="auto"/>
        <w:ind w:firstLine="540"/>
        <w:jc w:val="both"/>
      </w:pPr>
      <w:r>
        <w:rPr>
          <w:sz w:val="20"/>
        </w:rPr>
        <w:t xml:space="preserve">V</w:t>
      </w:r>
      <w:r>
        <w:rPr>
          <w:sz w:val="20"/>
          <w:vertAlign w:val="subscript"/>
        </w:rPr>
        <w:t xml:space="preserve">w</w:t>
      </w:r>
      <w:r>
        <w:rPr>
          <w:sz w:val="20"/>
        </w:rPr>
        <w:t xml:space="preserve"> - объем w-й работы, установленной государственным заданием;</w:t>
      </w:r>
    </w:p>
    <w:p>
      <w:pPr>
        <w:pStyle w:val="0"/>
        <w:spacing w:before="200" w:lineRule="auto"/>
        <w:ind w:firstLine="540"/>
        <w:jc w:val="both"/>
      </w:pPr>
      <w:r>
        <w:rPr>
          <w:sz w:val="20"/>
        </w:rPr>
        <w:t xml:space="preserve">Pi - размер платы (тариф и цена) за оказание i-й государственной услуги в соответствии с </w:t>
      </w:r>
      <w:hyperlink w:history="0" w:anchor="P193" w:tooltip="36. В случае если федеральное бюджетное или автономное учреждение в рамках установленного государственного задания оказывает государственные услуги (выполняет работы) для физических и юридических лиц с взиманием платы в случаях, предусмотренных федеральными законами, объем финансового обеспечения выполнения государственного задания, рассчитанный на основе нормативных затрат, подлежит уменьшению на объем доходов от указанной платной деятельности исходя из объема государственной услуги (работы), за оказани...">
        <w:r>
          <w:rPr>
            <w:sz w:val="20"/>
            <w:color w:val="0000ff"/>
          </w:rPr>
          <w:t xml:space="preserve">пунктом 36</w:t>
        </w:r>
      </w:hyperlink>
      <w:r>
        <w:rPr>
          <w:sz w:val="20"/>
        </w:rPr>
        <w:t xml:space="preserve"> настоящего Положения, установленный государственным заданием;</w:t>
      </w:r>
    </w:p>
    <w:p>
      <w:pPr>
        <w:pStyle w:val="0"/>
        <w:spacing w:before="200" w:lineRule="auto"/>
        <w:ind w:firstLine="540"/>
        <w:jc w:val="both"/>
      </w:pPr>
      <w:r>
        <w:rPr>
          <w:sz w:val="20"/>
        </w:rPr>
        <w:t xml:space="preserve">Pw - размер платы (тариф и цена) за выполнение w-й работы в соответствии с </w:t>
      </w:r>
      <w:hyperlink w:history="0" w:anchor="P193" w:tooltip="36. В случае если федеральное бюджетное или автономное учреждение в рамках установленного государственного задания оказывает государственные услуги (выполняет работы) для физических и юридических лиц с взиманием платы в случаях, предусмотренных федеральными законами, объем финансового обеспечения выполнения государственного задания, рассчитанный на основе нормативных затрат, подлежит уменьшению на объем доходов от указанной платной деятельности исходя из объема государственной услуги (работы), за оказани...">
        <w:r>
          <w:rPr>
            <w:sz w:val="20"/>
            <w:color w:val="0000ff"/>
          </w:rPr>
          <w:t xml:space="preserve">пунктом 36</w:t>
        </w:r>
      </w:hyperlink>
      <w:r>
        <w:rPr>
          <w:sz w:val="20"/>
        </w:rPr>
        <w:t xml:space="preserve"> настоящего Положения, установленный государственным заданием;</w:t>
      </w:r>
    </w:p>
    <w:p>
      <w:pPr>
        <w:pStyle w:val="0"/>
        <w:spacing w:before="200" w:lineRule="auto"/>
        <w:ind w:firstLine="540"/>
        <w:jc w:val="both"/>
      </w:pPr>
      <w:r>
        <w:rPr>
          <w:sz w:val="20"/>
        </w:rPr>
        <w:t xml:space="preserve">абзац утратил силу. - </w:t>
      </w:r>
      <w:hyperlink w:history="0" r:id="rId29" w:tooltip="Постановление Правительства РФ от 10.12.2025 N 200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10.12.2025 N 2005.</w:t>
      </w:r>
    </w:p>
    <w:bookmarkStart w:id="114" w:name="P114"/>
    <w:bookmarkEnd w:id="114"/>
    <w:p>
      <w:pPr>
        <w:pStyle w:val="0"/>
        <w:spacing w:before="200" w:lineRule="auto"/>
        <w:ind w:firstLine="540"/>
        <w:jc w:val="both"/>
      </w:pPr>
      <w:r>
        <w:rPr>
          <w:sz w:val="20"/>
        </w:rPr>
        <w:t xml:space="preserve">13.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w:t>
      </w:r>
      <w:hyperlink w:history="0" r:id="rId3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общих требований</w:t>
        </w:r>
      </w:hyperlink>
      <w:r>
        <w:rPr>
          <w:sz w:val="20"/>
        </w:rPr>
        <w:t xml:space="preserve">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bookmarkStart w:id="115" w:name="P115"/>
    <w:bookmarkEnd w:id="115"/>
    <w:p>
      <w:pPr>
        <w:pStyle w:val="0"/>
        <w:spacing w:before="200" w:lineRule="auto"/>
        <w:ind w:firstLine="540"/>
        <w:jc w:val="both"/>
      </w:pPr>
      <w:r>
        <w:rPr>
          <w:sz w:val="20"/>
        </w:rPr>
        <w:t xml:space="preserve">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общие требования направляются в Министерство финансов Российской Федерации на согласование.</w:t>
      </w:r>
    </w:p>
    <w:p>
      <w:pPr>
        <w:pStyle w:val="0"/>
        <w:spacing w:before="200" w:lineRule="auto"/>
        <w:ind w:firstLine="540"/>
        <w:jc w:val="both"/>
      </w:pPr>
      <w:r>
        <w:rPr>
          <w:sz w:val="20"/>
        </w:rPr>
        <w:t xml:space="preserve">Общими требованиями может устанавливаться, что нормативные затраты на оказание отдельных государственных услуг в соответствующих сферах определяются с учетом иных нормативных правовых актов Российской Федерации.</w:t>
      </w:r>
    </w:p>
    <w:p>
      <w:pPr>
        <w:pStyle w:val="0"/>
        <w:spacing w:before="200" w:lineRule="auto"/>
        <w:ind w:firstLine="540"/>
        <w:jc w:val="both"/>
      </w:pPr>
      <w:r>
        <w:rPr>
          <w:sz w:val="20"/>
        </w:rPr>
        <w:t xml:space="preserve">14. Значения нормативных затрат на оказание государственной услуги утверждаются в отношении:</w:t>
      </w:r>
    </w:p>
    <w:p>
      <w:pPr>
        <w:pStyle w:val="0"/>
        <w:spacing w:before="200" w:lineRule="auto"/>
        <w:ind w:firstLine="540"/>
        <w:jc w:val="both"/>
      </w:pPr>
      <w:r>
        <w:rPr>
          <w:sz w:val="20"/>
        </w:rPr>
        <w:t xml:space="preserve">а) федеральных казенных учреждений -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pPr>
        <w:pStyle w:val="0"/>
        <w:spacing w:before="200" w:lineRule="auto"/>
        <w:ind w:firstLine="540"/>
        <w:jc w:val="both"/>
      </w:pPr>
      <w:r>
        <w:rPr>
          <w:sz w:val="20"/>
        </w:rPr>
        <w:t xml:space="preserve">б) федеральных бюджетных или автономных учреждений - органом, осуществляющим функции и полномочия учредителя, с учетом положений </w:t>
      </w:r>
      <w:hyperlink w:history="0" w:anchor="P120" w:tooltip="15. Значения нормативных затрат на оказание государственной услуги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
        <w:r>
          <w:rPr>
            <w:sz w:val="20"/>
            <w:color w:val="0000ff"/>
          </w:rPr>
          <w:t xml:space="preserve">пункта 15</w:t>
        </w:r>
      </w:hyperlink>
      <w:r>
        <w:rPr>
          <w:sz w:val="20"/>
        </w:rPr>
        <w:t xml:space="preserve"> настоящего Положения.</w:t>
      </w:r>
    </w:p>
    <w:bookmarkStart w:id="120" w:name="P120"/>
    <w:bookmarkEnd w:id="120"/>
    <w:p>
      <w:pPr>
        <w:pStyle w:val="0"/>
        <w:spacing w:before="200" w:lineRule="auto"/>
        <w:ind w:firstLine="540"/>
        <w:jc w:val="both"/>
      </w:pPr>
      <w:r>
        <w:rPr>
          <w:sz w:val="20"/>
        </w:rPr>
        <w:t xml:space="preserve">15. Значения нормативных затрат на оказание государственной услуги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w:t>
      </w:r>
    </w:p>
    <w:p>
      <w:pPr>
        <w:pStyle w:val="0"/>
        <w:spacing w:before="200" w:lineRule="auto"/>
        <w:ind w:firstLine="540"/>
        <w:jc w:val="both"/>
      </w:pPr>
      <w:r>
        <w:rPr>
          <w:sz w:val="20"/>
        </w:rPr>
        <w:t xml:space="preserve">Значения нормативных затрат на оказание государственной услуги федеральным государственным учреждением, устав которого утвержден нормативным правовым актом Президента Российской Федерации, утверждаются указанным учреждением, если иное не предусмотрено уставом такого учреждения.</w:t>
      </w:r>
    </w:p>
    <w:bookmarkStart w:id="122" w:name="P122"/>
    <w:bookmarkEnd w:id="122"/>
    <w:p>
      <w:pPr>
        <w:pStyle w:val="0"/>
        <w:spacing w:before="200" w:lineRule="auto"/>
        <w:ind w:firstLine="540"/>
        <w:jc w:val="both"/>
      </w:pPr>
      <w:r>
        <w:rPr>
          <w:sz w:val="20"/>
        </w:rPr>
        <w:t xml:space="preserve">15(1). Значения нормативных затрат на оказание государственной услуги (с учетом корректирующих коэффициентов), не являющиеся сведениями, составляющими государственную тайну, утверждаются в форме электронного документа в системе "Электронный бюджет" путем подписания усиленной квалифицированной электронной подписью лица, имеющего право действовать от имени соответствующего органа исполнительной власти (учреждения).</w:t>
      </w:r>
    </w:p>
    <w:p>
      <w:pPr>
        <w:pStyle w:val="0"/>
        <w:spacing w:before="200" w:lineRule="auto"/>
        <w:ind w:firstLine="540"/>
        <w:jc w:val="both"/>
      </w:pPr>
      <w:r>
        <w:rPr>
          <w:sz w:val="20"/>
        </w:rPr>
        <w:t xml:space="preserve">Значения нормативных затрат на оказание государственной услуги (с учетом корректирующих коэффициентов), являющиеся сведениями, составляющими государственную тайну, утверждаются в форме бумажного документа с соблюдением законодательства Российской Федерации о государственной тайне путем проставления грифа утверждения, содержащего наименование должности, подпись (расшифровку подписи) лица, имеющего право действовать от имени соответствующего органа исполнительной власти (учреждения), и дату утверждения.</w:t>
      </w:r>
    </w:p>
    <w:p>
      <w:pPr>
        <w:pStyle w:val="0"/>
        <w:spacing w:before="200" w:lineRule="auto"/>
        <w:ind w:firstLine="540"/>
        <w:jc w:val="both"/>
      </w:pPr>
      <w:r>
        <w:rPr>
          <w:sz w:val="20"/>
        </w:rPr>
        <w:t xml:space="preserve">16. Базовый норматив затрат на оказание государственной услуги состоит из базового норматива:</w:t>
      </w:r>
    </w:p>
    <w:p>
      <w:pPr>
        <w:pStyle w:val="0"/>
        <w:spacing w:before="200" w:lineRule="auto"/>
        <w:ind w:firstLine="540"/>
        <w:jc w:val="both"/>
      </w:pPr>
      <w:r>
        <w:rPr>
          <w:sz w:val="20"/>
        </w:rPr>
        <w:t xml:space="preserve">а) затрат, непосредственно связанных с оказанием государственной услуги;</w:t>
      </w:r>
    </w:p>
    <w:p>
      <w:pPr>
        <w:pStyle w:val="0"/>
        <w:spacing w:before="200" w:lineRule="auto"/>
        <w:ind w:firstLine="540"/>
        <w:jc w:val="both"/>
      </w:pPr>
      <w:r>
        <w:rPr>
          <w:sz w:val="20"/>
        </w:rPr>
        <w:t xml:space="preserve">б) затрат на общехозяйственные нужды на оказание государственной услуги.</w:t>
      </w:r>
    </w:p>
    <w:p>
      <w:pPr>
        <w:pStyle w:val="0"/>
        <w:spacing w:before="200" w:lineRule="auto"/>
        <w:ind w:firstLine="540"/>
        <w:jc w:val="both"/>
      </w:pPr>
      <w:r>
        <w:rPr>
          <w:sz w:val="20"/>
        </w:rPr>
        <w:t xml:space="preserve">17. Базовый норматив затрат рассчитывается исходя из затрат, необходимых для оказания государственной услуги, с соблюдением показателей, отражающих отраслевую специфику государственной услуги (содержание, условия (формы) оказания государственной услуги), установленных в общероссийских базовых перечнях и (или) федеральных перечнях, отраслевой корректирующий коэффициент при которых принимает значение, равное 1, а также показателей, отражающих отраслевую специфику государственной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w:history="0" w:anchor="P158" w:tooltip="26. Отраслевой корректирующий коэффициент учитывает показатели отраслевой специфики и определяется в соответствии с общими требованиями.">
        <w:r>
          <w:rPr>
            <w:sz w:val="20"/>
            <w:color w:val="0000ff"/>
          </w:rPr>
          <w:t xml:space="preserve">пункта 26</w:t>
        </w:r>
      </w:hyperlink>
      <w:r>
        <w:rPr>
          <w:sz w:val="20"/>
        </w:rPr>
        <w:t xml:space="preserve"> настоящего Положения (далее - показатели отраслевой специфики).</w:t>
      </w:r>
    </w:p>
    <w:bookmarkStart w:id="128" w:name="P128"/>
    <w:bookmarkEnd w:id="128"/>
    <w:p>
      <w:pPr>
        <w:pStyle w:val="0"/>
        <w:spacing w:before="200" w:lineRule="auto"/>
        <w:ind w:firstLine="540"/>
        <w:jc w:val="both"/>
      </w:pPr>
      <w:r>
        <w:rPr>
          <w:sz w:val="20"/>
        </w:rPr>
        <w:t xml:space="preserve">18. При определении базового норматива затрат в части затрат, указанных в </w:t>
      </w:r>
      <w:hyperlink w:history="0" w:anchor="P130" w:tooltip="19. В базовый норматив затрат, непосредственно связанных с оказанием государственной услуги, включаются:">
        <w:r>
          <w:rPr>
            <w:sz w:val="20"/>
            <w:color w:val="0000ff"/>
          </w:rPr>
          <w:t xml:space="preserve">пункте 19</w:t>
        </w:r>
      </w:hyperlink>
      <w:r>
        <w:rPr>
          <w:sz w:val="20"/>
        </w:rPr>
        <w:t xml:space="preserve"> настоящего Положения, применяются </w:t>
      </w:r>
      <w:r>
        <w:rPr>
          <w:sz w:val="20"/>
        </w:rPr>
        <w:t xml:space="preserve">нормы</w:t>
      </w:r>
      <w:r>
        <w:rPr>
          <w:sz w:val="20"/>
        </w:rPr>
        <w:t xml:space="preserve">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 (далее - стандарты услуги).</w:t>
      </w:r>
    </w:p>
    <w:p>
      <w:pPr>
        <w:pStyle w:val="0"/>
        <w:spacing w:before="200" w:lineRule="auto"/>
        <w:ind w:firstLine="540"/>
        <w:jc w:val="both"/>
      </w:pPr>
      <w:r>
        <w:rPr>
          <w:sz w:val="20"/>
        </w:rPr>
        <w:t xml:space="preserve">Затраты, указанные в </w:t>
      </w:r>
      <w:hyperlink w:history="0" w:anchor="P135" w:tooltip="20. В базовый норматив затрат на общехозяйственные нужды на оказание государственной услуги включаются:">
        <w:r>
          <w:rPr>
            <w:sz w:val="20"/>
            <w:color w:val="0000ff"/>
          </w:rPr>
          <w:t xml:space="preserve">пункте 20</w:t>
        </w:r>
      </w:hyperlink>
      <w:r>
        <w:rPr>
          <w:sz w:val="20"/>
        </w:rP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федерального государственного учреждения, которое имеет минимальный объем указанных затрат на оказание единицы государственной услуги в установленной сфере, или на основе медианного значения по федеральным государственным учреждениям, оказывающим государственную услугу в установленной сфере деятельности, в соответствии с общими требованиями.</w:t>
      </w:r>
    </w:p>
    <w:bookmarkStart w:id="130" w:name="P130"/>
    <w:bookmarkEnd w:id="130"/>
    <w:p>
      <w:pPr>
        <w:pStyle w:val="0"/>
        <w:spacing w:before="200" w:lineRule="auto"/>
        <w:ind w:firstLine="540"/>
        <w:jc w:val="both"/>
      </w:pPr>
      <w:r>
        <w:rPr>
          <w:sz w:val="20"/>
        </w:rPr>
        <w:t xml:space="preserve">19. В базовый норматив затрат, непосредственно связанных с оказанием государственной услуги, включаются:</w:t>
      </w:r>
    </w:p>
    <w:p>
      <w:pPr>
        <w:pStyle w:val="0"/>
        <w:spacing w:before="200" w:lineRule="auto"/>
        <w:ind w:firstLine="540"/>
        <w:jc w:val="both"/>
      </w:pPr>
      <w:r>
        <w:rPr>
          <w:sz w:val="20"/>
        </w:rPr>
        <w:t xml:space="preserve">а) затраты на оплату труда работников, непосредственно связанных с оказанием государственной услуги, денежное довольствие военнослужащих (сотрудников, имеющих специальное звание), непосредственно связанных с оказанием государственной услуги, и страховые взносы, объектом обложения которых признаются указанные выплаты лицам, подлежащим обязательному социальному страхованию в соответствии с федеральными законами о конкретных видах обязательного социального страхования (далее - обязательные страховые взносы);</w:t>
      </w:r>
    </w:p>
    <w:bookmarkStart w:id="132" w:name="P132"/>
    <w:bookmarkEnd w:id="132"/>
    <w:p>
      <w:pPr>
        <w:pStyle w:val="0"/>
        <w:spacing w:before="200" w:lineRule="auto"/>
        <w:ind w:firstLine="540"/>
        <w:jc w:val="both"/>
      </w:pPr>
      <w:r>
        <w:rPr>
          <w:sz w:val="20"/>
        </w:rPr>
        <w:t xml:space="preserve">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pPr>
        <w:pStyle w:val="0"/>
        <w:spacing w:before="200" w:lineRule="auto"/>
        <w:ind w:firstLine="540"/>
        <w:jc w:val="both"/>
      </w:pPr>
      <w:r>
        <w:rPr>
          <w:sz w:val="20"/>
        </w:rPr>
        <w:t xml:space="preserve">б(1)) утратил силу. - </w:t>
      </w:r>
      <w:hyperlink w:history="0" r:id="rId31"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bookmarkStart w:id="134" w:name="P134"/>
    <w:bookmarkEnd w:id="134"/>
    <w:p>
      <w:pPr>
        <w:pStyle w:val="0"/>
        <w:spacing w:before="200" w:lineRule="auto"/>
        <w:ind w:firstLine="540"/>
        <w:jc w:val="both"/>
      </w:pPr>
      <w:r>
        <w:rPr>
          <w:sz w:val="20"/>
        </w:rPr>
        <w:t xml:space="preserve">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w:t>
      </w:r>
    </w:p>
    <w:bookmarkStart w:id="135" w:name="P135"/>
    <w:bookmarkEnd w:id="135"/>
    <w:p>
      <w:pPr>
        <w:pStyle w:val="0"/>
        <w:spacing w:before="200" w:lineRule="auto"/>
        <w:ind w:firstLine="540"/>
        <w:jc w:val="both"/>
      </w:pPr>
      <w:r>
        <w:rPr>
          <w:sz w:val="20"/>
        </w:rPr>
        <w:t xml:space="preserve">20. В базовый норматив затрат на общехозяйственные нужды на оказание государственной услуги включаются:</w:t>
      </w:r>
    </w:p>
    <w:bookmarkStart w:id="136" w:name="P136"/>
    <w:bookmarkEnd w:id="136"/>
    <w:p>
      <w:pPr>
        <w:pStyle w:val="0"/>
        <w:spacing w:before="200" w:lineRule="auto"/>
        <w:ind w:firstLine="540"/>
        <w:jc w:val="both"/>
      </w:pPr>
      <w:r>
        <w:rPr>
          <w:sz w:val="20"/>
        </w:rPr>
        <w:t xml:space="preserve">а) затраты на коммунальные услуги, за исключением затрат, указанных в </w:t>
      </w:r>
      <w:hyperlink w:history="0" w:anchor="P134" w:tooltip="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
        <w:r>
          <w:rPr>
            <w:sz w:val="20"/>
            <w:color w:val="0000ff"/>
          </w:rPr>
          <w:t xml:space="preserve">подпункте "в" пункта 19</w:t>
        </w:r>
      </w:hyperlink>
      <w:r>
        <w:rPr>
          <w:sz w:val="20"/>
        </w:rPr>
        <w:t xml:space="preserve"> настоящего Положения;</w:t>
      </w:r>
    </w:p>
    <w:bookmarkStart w:id="137" w:name="P137"/>
    <w:bookmarkEnd w:id="137"/>
    <w:p>
      <w:pPr>
        <w:pStyle w:val="0"/>
        <w:spacing w:before="200" w:lineRule="auto"/>
        <w:ind w:firstLine="540"/>
        <w:jc w:val="both"/>
      </w:pPr>
      <w:r>
        <w:rPr>
          <w:sz w:val="20"/>
        </w:rPr>
        <w:t xml:space="preserve">б) затраты на содержание объектов недвижимого имущества, а также затраты на аренду указанного имущества, за исключением затрат, указанных в </w:t>
      </w:r>
      <w:hyperlink w:history="0" w:anchor="P134" w:tooltip="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
        <w:r>
          <w:rPr>
            <w:sz w:val="20"/>
            <w:color w:val="0000ff"/>
          </w:rPr>
          <w:t xml:space="preserve">подпункте "в" пункта 19</w:t>
        </w:r>
      </w:hyperlink>
      <w:r>
        <w:rPr>
          <w:sz w:val="20"/>
        </w:rPr>
        <w:t xml:space="preserve"> настоящего Положения;</w:t>
      </w:r>
    </w:p>
    <w:bookmarkStart w:id="138" w:name="P138"/>
    <w:bookmarkEnd w:id="138"/>
    <w:p>
      <w:pPr>
        <w:pStyle w:val="0"/>
        <w:spacing w:before="200" w:lineRule="auto"/>
        <w:ind w:firstLine="540"/>
        <w:jc w:val="both"/>
      </w:pPr>
      <w:r>
        <w:rPr>
          <w:sz w:val="20"/>
        </w:rPr>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w:t>
      </w:r>
      <w:hyperlink w:history="0" w:anchor="P134" w:tooltip="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
        <w:r>
          <w:rPr>
            <w:sz w:val="20"/>
            <w:color w:val="0000ff"/>
          </w:rPr>
          <w:t xml:space="preserve">подпункте "в" пункта 19</w:t>
        </w:r>
      </w:hyperlink>
      <w:r>
        <w:rPr>
          <w:sz w:val="20"/>
        </w:rPr>
        <w:t xml:space="preserve"> настоящего Положения;</w:t>
      </w:r>
    </w:p>
    <w:bookmarkStart w:id="139" w:name="P139"/>
    <w:bookmarkEnd w:id="139"/>
    <w:p>
      <w:pPr>
        <w:pStyle w:val="0"/>
        <w:spacing w:before="200" w:lineRule="auto"/>
        <w:ind w:firstLine="540"/>
        <w:jc w:val="both"/>
      </w:pPr>
      <w:r>
        <w:rPr>
          <w:sz w:val="20"/>
        </w:rPr>
        <w:t xml:space="preserve">г) утратил силу. - </w:t>
      </w:r>
      <w:hyperlink w:history="0" r:id="rId32"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д) затраты на приобретение услуг связи;</w:t>
      </w:r>
    </w:p>
    <w:p>
      <w:pPr>
        <w:pStyle w:val="0"/>
        <w:spacing w:before="200" w:lineRule="auto"/>
        <w:ind w:firstLine="540"/>
        <w:jc w:val="both"/>
      </w:pPr>
      <w:r>
        <w:rPr>
          <w:sz w:val="20"/>
        </w:rPr>
        <w:t xml:space="preserve">е) затраты на приобретение транспортных услуг;</w:t>
      </w:r>
    </w:p>
    <w:p>
      <w:pPr>
        <w:pStyle w:val="0"/>
        <w:spacing w:before="200" w:lineRule="auto"/>
        <w:ind w:firstLine="540"/>
        <w:jc w:val="both"/>
      </w:pPr>
      <w:r>
        <w:rPr>
          <w:sz w:val="20"/>
        </w:rPr>
        <w:t xml:space="preserve">ж) затраты на оплату труда работников, которые не принимают непосредственного участия в оказании государственной услуги, денежное довольствие военнослужащих (сотрудников, имеющих специальное звание), которые не принимают непосредственного участия в оказании государственной услуги, и обязательные страховые взносы указанных работников;</w:t>
      </w:r>
    </w:p>
    <w:p>
      <w:pPr>
        <w:pStyle w:val="0"/>
        <w:spacing w:before="200" w:lineRule="auto"/>
        <w:ind w:firstLine="540"/>
        <w:jc w:val="both"/>
      </w:pPr>
      <w:r>
        <w:rPr>
          <w:sz w:val="20"/>
        </w:rPr>
        <w:t xml:space="preserve">з) затраты на прочие общехозяйственные нужды.</w:t>
      </w:r>
    </w:p>
    <w:bookmarkStart w:id="144" w:name="P144"/>
    <w:bookmarkEnd w:id="144"/>
    <w:p>
      <w:pPr>
        <w:pStyle w:val="0"/>
        <w:spacing w:before="200" w:lineRule="auto"/>
        <w:ind w:firstLine="540"/>
        <w:jc w:val="both"/>
      </w:pPr>
      <w:r>
        <w:rPr>
          <w:sz w:val="20"/>
        </w:rPr>
        <w:t xml:space="preserve">21. В затраты, указанные в </w:t>
      </w:r>
      <w:hyperlink w:history="0" w:anchor="P136" w:tooltip="а) затраты на коммунальные услуги, за исключением затрат, указанных в подпункте &quot;в&quot; пункта 19 настоящего Положения;">
        <w:r>
          <w:rPr>
            <w:sz w:val="20"/>
            <w:color w:val="0000ff"/>
          </w:rPr>
          <w:t xml:space="preserve">подпунктах "а"</w:t>
        </w:r>
      </w:hyperlink>
      <w:r>
        <w:rPr>
          <w:sz w:val="20"/>
        </w:rPr>
        <w:t xml:space="preserve"> - </w:t>
      </w:r>
      <w:hyperlink w:history="0" w:anchor="P138" w:tooltip="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quot;в&quot; пункта 19 настоящего Положения;">
        <w:r>
          <w:rPr>
            <w:sz w:val="20"/>
            <w:color w:val="0000ff"/>
          </w:rPr>
          <w:t xml:space="preserve">"в" пункта 20</w:t>
        </w:r>
      </w:hyperlink>
      <w:r>
        <w:rPr>
          <w:sz w:val="20"/>
        </w:rPr>
        <w:t xml:space="preserve"> настоящего Положения, включаются затраты на оказание государственной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 (далее - имущество, необходимое для выполнения государственного задания).</w:t>
      </w:r>
    </w:p>
    <w:p>
      <w:pPr>
        <w:pStyle w:val="0"/>
        <w:spacing w:before="200" w:lineRule="auto"/>
        <w:ind w:firstLine="540"/>
        <w:jc w:val="both"/>
      </w:pPr>
      <w:r>
        <w:rPr>
          <w:sz w:val="20"/>
        </w:rPr>
        <w:t xml:space="preserve">Абзацы второй - третий утратили силу. - </w:t>
      </w:r>
      <w:hyperlink w:history="0" r:id="rId33"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Затраты на аренду имущества, включенные в затраты, указанные в </w:t>
      </w:r>
      <w:hyperlink w:history="0" w:anchor="P132" w:tooltip="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
        <w:r>
          <w:rPr>
            <w:sz w:val="20"/>
            <w:color w:val="0000ff"/>
          </w:rPr>
          <w:t xml:space="preserve">подпункте "б" пункта 19</w:t>
        </w:r>
      </w:hyperlink>
      <w:r>
        <w:rPr>
          <w:sz w:val="20"/>
        </w:rPr>
        <w:t xml:space="preserve"> и </w:t>
      </w:r>
      <w:hyperlink w:history="0" w:anchor="P137" w:tooltip="б) затраты на содержание объектов недвижимого имущества, а также затраты на аренду указанного имущества, за исключением затрат, указанных в подпункте &quot;в&quot; пункта 19 настоящего Положения;">
        <w:r>
          <w:rPr>
            <w:sz w:val="20"/>
            <w:color w:val="0000ff"/>
          </w:rPr>
          <w:t xml:space="preserve">подпунктах "б"</w:t>
        </w:r>
      </w:hyperlink>
      <w:r>
        <w:rPr>
          <w:sz w:val="20"/>
        </w:rPr>
        <w:t xml:space="preserve"> и </w:t>
      </w:r>
      <w:hyperlink w:history="0" w:anchor="P138" w:tooltip="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quot;в&quot; пункта 19 настоящего Положения;">
        <w:r>
          <w:rPr>
            <w:sz w:val="20"/>
            <w:color w:val="0000ff"/>
          </w:rPr>
          <w:t xml:space="preserve">"в" пункта 20</w:t>
        </w:r>
      </w:hyperlink>
      <w:r>
        <w:rPr>
          <w:sz w:val="20"/>
        </w:rP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федеральным бюджетным или автономным учреждением на праве оперативного управления.</w:t>
      </w:r>
    </w:p>
    <w:p>
      <w:pPr>
        <w:pStyle w:val="0"/>
        <w:spacing w:before="200" w:lineRule="auto"/>
        <w:ind w:firstLine="540"/>
        <w:jc w:val="both"/>
      </w:pPr>
      <w:r>
        <w:rPr>
          <w:sz w:val="20"/>
        </w:rPr>
        <w:t xml:space="preserve">22. Значение базового норматива затрат на оказание государственной услуги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общей суммой, с выделением сумм затрат, указанных в </w:t>
      </w:r>
      <w:hyperlink w:history="0" w:anchor="P130" w:tooltip="19. В базовый норматив затрат, непосредственно связанных с оказанием государственной услуги, включаются:">
        <w:r>
          <w:rPr>
            <w:sz w:val="20"/>
            <w:color w:val="0000ff"/>
          </w:rPr>
          <w:t xml:space="preserve">пунктах 19</w:t>
        </w:r>
      </w:hyperlink>
      <w:r>
        <w:rPr>
          <w:sz w:val="20"/>
        </w:rPr>
        <w:t xml:space="preserve"> и </w:t>
      </w:r>
      <w:hyperlink w:history="0" w:anchor="P135" w:tooltip="20. В базовый норматив затрат на общехозяйственные нужды на оказание государственной услуги включаются:">
        <w:r>
          <w:rPr>
            <w:sz w:val="20"/>
            <w:color w:val="0000ff"/>
          </w:rPr>
          <w:t xml:space="preserve">20</w:t>
        </w:r>
      </w:hyperlink>
      <w:r>
        <w:rPr>
          <w:sz w:val="20"/>
        </w:rPr>
        <w:t xml:space="preserve"> настоящего Положения, используемых при определении значения базового норматива затрат на оказание государственной услуги.</w:t>
      </w:r>
    </w:p>
    <w:p>
      <w:pPr>
        <w:pStyle w:val="0"/>
        <w:spacing w:before="200" w:lineRule="auto"/>
        <w:ind w:firstLine="540"/>
        <w:jc w:val="both"/>
      </w:pPr>
      <w:r>
        <w:rPr>
          <w:sz w:val="20"/>
        </w:rPr>
        <w:t xml:space="preserve">В случае включения в общероссийский базовый перечень или федеральный перечень новой государственной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федеральный перечень.</w:t>
      </w:r>
    </w:p>
    <w:p>
      <w:pPr>
        <w:pStyle w:val="0"/>
        <w:spacing w:before="200" w:lineRule="auto"/>
        <w:ind w:firstLine="540"/>
        <w:jc w:val="both"/>
      </w:pPr>
      <w:r>
        <w:rPr>
          <w:sz w:val="20"/>
        </w:rPr>
        <w:t xml:space="preserve">22(1). Значение базового норматива затрат на оказание государственной услуги уточняется на очередной финансовый год и плановый период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на прогнозный уровень инфляции (индекс роста потребительских цен) в соответствии с прогнозом социально-экономического развития Российской Федерации на соответствующий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w:t>
      </w:r>
      <w:hyperlink w:history="0" r:id="rId34" w:tooltip="&quot;Методика 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2024 год и на плановый период 2025 и 2026 годов&quot; {КонсультантПлюс}">
        <w:r>
          <w:rPr>
            <w:sz w:val="20"/>
            <w:color w:val="0000ff"/>
          </w:rPr>
          <w:t xml:space="preserve">методики</w:t>
        </w:r>
      </w:hyperlink>
      <w:r>
        <w:rPr>
          <w:sz w:val="20"/>
        </w:rPr>
        <w:t xml:space="preserve"> 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bookmarkStart w:id="150" w:name="P150"/>
    <w:bookmarkEnd w:id="150"/>
    <w:p>
      <w:pPr>
        <w:pStyle w:val="0"/>
        <w:spacing w:before="200" w:lineRule="auto"/>
        <w:ind w:firstLine="540"/>
        <w:jc w:val="both"/>
      </w:pPr>
      <w:r>
        <w:rPr>
          <w:sz w:val="20"/>
        </w:rPr>
        <w:t xml:space="preserve">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приводящих к изменению объема финансового обеспечения выполнения государственного задания, соответствующее уточнение осуществляется в течение 30 рабочих дней со дня принятия (изменения) такого акта.</w:t>
      </w:r>
    </w:p>
    <w:p>
      <w:pPr>
        <w:pStyle w:val="0"/>
        <w:spacing w:before="200" w:lineRule="auto"/>
        <w:ind w:firstLine="540"/>
        <w:jc w:val="both"/>
      </w:pPr>
      <w:r>
        <w:rPr>
          <w:sz w:val="20"/>
        </w:rPr>
        <w:t xml:space="preserve">В случае если значения базовых нормативов затрат на оказание государственных услуг в соответствии с положением </w:t>
      </w:r>
      <w:hyperlink w:history="0" w:anchor="P150" w:tooltip="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приводящих к изменению объема финансового обеспечения выполнения государственного задания, соответствующее уточнение осуществляется в течение 30 рабочих дней со дня принятия (изменения) такого акта.">
        <w:r>
          <w:rPr>
            <w:sz w:val="20"/>
            <w:color w:val="0000ff"/>
          </w:rPr>
          <w:t xml:space="preserve">абзаца второго</w:t>
        </w:r>
      </w:hyperlink>
      <w:r>
        <w:rPr>
          <w:sz w:val="20"/>
        </w:rPr>
        <w:t xml:space="preserve"> настоящего пункта уточнены в текущем финансовом году после внесения на рассмотрение в Правительство Российской Федерации проекта федерального закона о федеральном бюджете на очередной финансовый год и плановый период, уточненные значения базовых нормативов затрат на оказание государственных услуг применяются начиная с расчета субсидии на финансовое обеспечение выполнения государственного задания (далее - субсидия) на первый год планового периода.</w:t>
      </w:r>
    </w:p>
    <w:p>
      <w:pPr>
        <w:pStyle w:val="0"/>
        <w:spacing w:before="200" w:lineRule="auto"/>
        <w:ind w:firstLine="540"/>
        <w:jc w:val="both"/>
      </w:pPr>
      <w:r>
        <w:rPr>
          <w:sz w:val="20"/>
        </w:rPr>
        <w:t xml:space="preserve">23. Значение базового норматива затрат на оказание государственной услуги утверждается по согласованию с Министерством финансов Российской Федерации в случае, если общие требования не были согласованы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Министерством финансов Российской Федерации в соответствии с </w:t>
      </w:r>
      <w:hyperlink w:history="0" w:anchor="P115" w:tooltip="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общие требования направляются в Министерство финансов Российской Федерации на согласование.">
        <w:r>
          <w:rPr>
            <w:sz w:val="20"/>
            <w:color w:val="0000ff"/>
          </w:rPr>
          <w:t xml:space="preserve">абзацем вторым пункта 13</w:t>
        </w:r>
      </w:hyperlink>
      <w:r>
        <w:rPr>
          <w:sz w:val="20"/>
        </w:rPr>
        <w:t xml:space="preserve"> настоящего Положения.</w:t>
      </w:r>
    </w:p>
    <w:p>
      <w:pPr>
        <w:pStyle w:val="0"/>
        <w:spacing w:before="200" w:lineRule="auto"/>
        <w:ind w:firstLine="540"/>
        <w:jc w:val="both"/>
      </w:pPr>
      <w:r>
        <w:rPr>
          <w:sz w:val="20"/>
        </w:rPr>
        <w:t xml:space="preserve">24. Корректирующие коэффициенты, применяемые при расчете нормативных затрат на оказание государственной услуги, состоят из территориального корректирующего коэффициента и отраслевого корректирующего коэффициента, либо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из нескольких отраслевых корректирующих коэффициентов, а также коэффициентов приведения.</w:t>
      </w:r>
    </w:p>
    <w:p>
      <w:pPr>
        <w:pStyle w:val="0"/>
        <w:spacing w:before="200" w:lineRule="auto"/>
        <w:ind w:firstLine="540"/>
        <w:jc w:val="both"/>
      </w:pPr>
      <w:r>
        <w:rPr>
          <w:sz w:val="20"/>
        </w:rPr>
        <w:t xml:space="preserve">25. В территориальный корректирующий коэффициент включаются территориальный корректирующий коэффициент на оплату труда с обязательными страховыми взносами и территориальный корректирующий коэффициент на коммунальные услуги и на содержание недвижимого имущества.</w:t>
      </w:r>
    </w:p>
    <w:bookmarkStart w:id="155" w:name="P155"/>
    <w:bookmarkEnd w:id="155"/>
    <w:p>
      <w:pPr>
        <w:pStyle w:val="0"/>
        <w:spacing w:before="200" w:lineRule="auto"/>
        <w:ind w:firstLine="540"/>
        <w:jc w:val="both"/>
      </w:pPr>
      <w:r>
        <w:rPr>
          <w:sz w:val="20"/>
        </w:rPr>
        <w:t xml:space="preserve">Значение территориального корректирующего коэффициента утверждается органом, осуществляющим функции и полномочия учредителя, если иное не предусмотрено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учетом условий, обусловленных территориальными особенностями и составом имущественного комплекса, необходимого для выполнения государственного задания, территориальным расположением федеральных бюджетных или автономных учреждений, их обособленных подразделений, и рассчитывается в соответствии с общими требованиями.</w:t>
      </w:r>
    </w:p>
    <w:p>
      <w:pPr>
        <w:pStyle w:val="0"/>
        <w:spacing w:before="200" w:lineRule="auto"/>
        <w:ind w:firstLine="540"/>
        <w:jc w:val="both"/>
      </w:pPr>
      <w:r>
        <w:rPr>
          <w:sz w:val="20"/>
        </w:rPr>
        <w:t xml:space="preserve">Значения территориальных корректирующих коэффициентов, применяемых при расчете нормативных затрат на оказание государственных услуг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федеральными органами государственной власти, осуществляющими функции по выработке государственной политики и нормативно-правовому регулированию в установленной сфере деятельности, соответствующей основным видам деятельности таких учреждений, за исключением случая утверждения значений территориальных корректирующих коэффициентов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указанного в </w:t>
      </w:r>
      <w:hyperlink w:history="0" w:anchor="P155" w:tooltip="Значение территориального корректирующего коэффициента утверждается органом, осуществляющим функции и полномочия учредителя, если иное не предусмотрено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учетом условий, обусловленных территориальными особенностями и составом имущественного комплекса, необходимого для выполнения государственного задания, территориальным расположен...">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Общими требованиями может устанавливаться, что в состав территориального коэффициента включаются по согласованию с Министерством финансов Российской Федерации иные коэффициенты, отражающие территориальные особенности оказания государственной услуги.</w:t>
      </w:r>
    </w:p>
    <w:bookmarkStart w:id="158" w:name="P158"/>
    <w:bookmarkEnd w:id="158"/>
    <w:p>
      <w:pPr>
        <w:pStyle w:val="0"/>
        <w:spacing w:before="200" w:lineRule="auto"/>
        <w:ind w:firstLine="540"/>
        <w:jc w:val="both"/>
      </w:pPr>
      <w:r>
        <w:rPr>
          <w:sz w:val="20"/>
        </w:rPr>
        <w:t xml:space="preserve">26. Отраслевой корректирующий коэффициент учитывает показатели отраслевой специфики и определяется в соответствии с общими требованиями.</w:t>
      </w:r>
    </w:p>
    <w:p>
      <w:pPr>
        <w:pStyle w:val="0"/>
        <w:spacing w:before="200" w:lineRule="auto"/>
        <w:ind w:firstLine="540"/>
        <w:jc w:val="both"/>
      </w:pPr>
      <w:r>
        <w:rPr>
          <w:sz w:val="20"/>
        </w:rPr>
        <w:t xml:space="preserve">Значение отраслевого корректирующего коэффициента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(уточняется при необходимости при формировании обоснований бюджетных ассигнований федерального бюджета на очередной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методики 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p>
      <w:pPr>
        <w:pStyle w:val="0"/>
        <w:spacing w:before="200" w:lineRule="auto"/>
        <w:ind w:firstLine="540"/>
        <w:jc w:val="both"/>
      </w:pPr>
      <w:r>
        <w:rPr>
          <w:sz w:val="20"/>
        </w:rPr>
        <w:t xml:space="preserve">Значение отраслевого корректирующего коэффициента к базовому нормативу затрат на оказание государственных услуг федеральными государственными учреждениями, функции и полномочия учредителя которых осуществляют федеральные органы исполнительной власти (государственные органы), в которых предусмотрена военная и приравненная к ней служба, определяется и утверждается в соответствии с </w:t>
      </w:r>
      <w:hyperlink w:history="0" r:id="rId35" w:tooltip="Приказ Министра обороны РФ от 24.11.2017 N 705 (ред. от 11.11.2022) &quot;Об утверждении Порядка определения и утверждения значения отраслевого корректирующего коэффициента к базовому нормативу затрат на оказание государственных услуг федеральными государственными бюджетными учреждениями и федеральными государственными автономными учреждениями, функции и полномочия учредителя которых осуществляет Министерство обороны Российской Федерации&quot; (Зарегистрировано в Минюсте России 19.12.2017 N 49315) {КонсультантПлюс}">
        <w:r>
          <w:rPr>
            <w:sz w:val="20"/>
            <w:color w:val="0000ff"/>
          </w:rPr>
          <w:t xml:space="preserve">порядком</w:t>
        </w:r>
      </w:hyperlink>
      <w:r>
        <w:rPr>
          <w:sz w:val="20"/>
        </w:rPr>
        <w:t xml:space="preserve">, утвержденным указанными органами по согласованию с Министерством финансов Российской Федерации.</w:t>
      </w:r>
    </w:p>
    <w:p>
      <w:pPr>
        <w:pStyle w:val="0"/>
        <w:spacing w:before="200" w:lineRule="auto"/>
        <w:ind w:firstLine="540"/>
        <w:jc w:val="both"/>
      </w:pPr>
      <w:r>
        <w:rPr>
          <w:sz w:val="20"/>
        </w:rPr>
        <w:t xml:space="preserve">26(1). В случае необходимости при формировании обоснований бюджетных ассигнований федерального бюджета на очередной финансовый год и плановый период уточнения объема финансового обеспечения выполнения государственного задания на оказание государственных услуг в отношении отдельного федерального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w:t>
      </w:r>
      <w:hyperlink w:history="0" r:id="rId3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установленном правовым актом такого органа.</w:t>
      </w:r>
    </w:p>
    <w:p>
      <w:pPr>
        <w:pStyle w:val="0"/>
        <w:spacing w:before="200" w:lineRule="auto"/>
        <w:ind w:firstLine="540"/>
        <w:jc w:val="both"/>
      </w:pPr>
      <w:r>
        <w:rPr>
          <w:sz w:val="20"/>
        </w:rPr>
        <w:t xml:space="preserve">Коэффициенты приведения в отношении федеральных бюджетных и автономных учреждений, функции и полномочия учредителя в отношении которых осуществляются Правительством Российской Федерации либо государственными органами, определенными в уставах таких учреждений, утвержденных нормативными правовыми актами Президента Российской Федерации, определяются в порядке, установленном указанными учреждениями, если иное не предусмотрено уставами таких учреждений.</w:t>
      </w:r>
    </w:p>
    <w:bookmarkStart w:id="163" w:name="P163"/>
    <w:bookmarkEnd w:id="163"/>
    <w:p>
      <w:pPr>
        <w:pStyle w:val="0"/>
        <w:spacing w:before="200" w:lineRule="auto"/>
        <w:ind w:firstLine="540"/>
        <w:jc w:val="both"/>
      </w:pPr>
      <w:r>
        <w:rPr>
          <w:sz w:val="20"/>
        </w:rPr>
        <w:t xml:space="preserve">27. Значения базового норматива затрат на оказание государственных услуг, отраслевых и территориальных корректирующих коэффициентов утверждаются в порядке, предусмотренном </w:t>
      </w:r>
      <w:hyperlink w:history="0" w:anchor="P122" w:tooltip="15(1). Значения нормативных затрат на оказание государственной услуги (с учетом корректирующих коэффициентов), не являющиеся сведениями, составляющими государственную тайну, утверждаются в форме электронного документа в системе &quot;Электронный бюджет&quot; путем подписания усиленной квалифицированной электронной подписью лица, имеющего право действовать от имени соответствующего органа исполнительной власти (учреждения).">
        <w:r>
          <w:rPr>
            <w:sz w:val="20"/>
            <w:color w:val="0000ff"/>
          </w:rPr>
          <w:t xml:space="preserve">пунктом 15(1)</w:t>
        </w:r>
      </w:hyperlink>
      <w:r>
        <w:rPr>
          <w:sz w:val="20"/>
        </w:rPr>
        <w:t xml:space="preserve"> настоящего Положения.</w:t>
      </w:r>
    </w:p>
    <w:p>
      <w:pPr>
        <w:pStyle w:val="0"/>
        <w:spacing w:before="200" w:lineRule="auto"/>
        <w:ind w:firstLine="540"/>
        <w:jc w:val="both"/>
      </w:pPr>
      <w:r>
        <w:rPr>
          <w:sz w:val="20"/>
        </w:rPr>
        <w:t xml:space="preserve">Значения базовых нормативов затрат на оказание государственных услуг и отраслевых корректирующих коэффициентов подлежат размещению в порядке, установленном Министерством финансов Российской Федерации, на едином портале бюджетной системы Российской Федерации в информационно-телекоммуникационной сети "Интернет".</w:t>
      </w:r>
    </w:p>
    <w:bookmarkStart w:id="165" w:name="P165"/>
    <w:bookmarkEnd w:id="165"/>
    <w:p>
      <w:pPr>
        <w:pStyle w:val="0"/>
        <w:spacing w:before="200" w:lineRule="auto"/>
        <w:ind w:firstLine="540"/>
        <w:jc w:val="both"/>
      </w:pPr>
      <w:r>
        <w:rPr>
          <w:sz w:val="20"/>
        </w:rPr>
        <w:t xml:space="preserve">28. Нормативные затраты на выполнение работы определяются при расчете объема финансового обеспечения выполнения государственного задания в </w:t>
      </w:r>
      <w:hyperlink w:history="0" r:id="rId37"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установленном органом, осуществляющим функции и полномочия учредителя, а также по решению главного распорядителя средств федерального бюджета, в ведении которого находятся федеральные казенные учреждения.</w:t>
      </w:r>
    </w:p>
    <w:p>
      <w:pPr>
        <w:pStyle w:val="0"/>
        <w:spacing w:before="200" w:lineRule="auto"/>
        <w:ind w:firstLine="540"/>
        <w:jc w:val="both"/>
      </w:pPr>
      <w:r>
        <w:rPr>
          <w:sz w:val="20"/>
        </w:rPr>
        <w:t xml:space="preserve">Нормативные затраты на выполнение работы федеральными бюджетными и автономными учреждениями, функции и полномочия учредителя в отношении которых осуществляются Правительством Российской Федерации либо государственными органами, определенными в уставах таких учреждений, утвержденных нормативными правовыми актами Президента Российской Федерации, определяются при расчете объема финансового обеспечения выполнения государственного задания в порядке, установленном указанными учреждениями по согласованию с Министерством финансов Российской Федерации (если иной порядок определения нормативных затрат на выполнение работ не установлен уставом федерального бюджетного или автономного учреждения).</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установленной сфере деятельности, вправе установить по согласованию с Министерством финансов Российской Федерации </w:t>
      </w:r>
      <w:hyperlink w:history="0" r:id="rId38" w:tooltip="Приказ Минобрнауки России от 22.10.2021 N 973 (ред. от 20.05.2022) &quot;Об утверждении Особенностей расчета нормативных затрат на выполнение работ по проведению фундаментальных, прикладных и поисковых научных исследований, содержащихся в федеральном перечне (классификаторе)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 {КонсультантПлюс}">
        <w:r>
          <w:rPr>
            <w:sz w:val="20"/>
            <w:color w:val="0000ff"/>
          </w:rPr>
          <w:t xml:space="preserve">особенности</w:t>
        </w:r>
      </w:hyperlink>
      <w:r>
        <w:rPr>
          <w:sz w:val="20"/>
        </w:rPr>
        <w:t xml:space="preserve"> расчета нормативных затрат на выполнение работ, содержащихся в федеральном перечне, сформированном указанным органом.</w:t>
      </w:r>
    </w:p>
    <w:p>
      <w:pPr>
        <w:pStyle w:val="0"/>
        <w:spacing w:before="200" w:lineRule="auto"/>
        <w:ind w:firstLine="540"/>
        <w:jc w:val="both"/>
      </w:pPr>
      <w:r>
        <w:rPr>
          <w:sz w:val="20"/>
        </w:rPr>
        <w:t xml:space="preserve">Особенности расчета нормативных затрат на выполнение работ учитываются при определении нормативных затрат на выполнение работ.</w:t>
      </w:r>
    </w:p>
    <w:p>
      <w:pPr>
        <w:pStyle w:val="0"/>
        <w:spacing w:before="200" w:lineRule="auto"/>
        <w:ind w:firstLine="540"/>
        <w:jc w:val="both"/>
      </w:pPr>
      <w:r>
        <w:rPr>
          <w:sz w:val="20"/>
        </w:rPr>
        <w:t xml:space="preserve">В порядке, указанном в </w:t>
      </w:r>
      <w:hyperlink w:history="0" w:anchor="P165" w:tooltip="28.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а также по решению главного распорядителя средств федерального бюджета, в ведении которого находятся федеральные казенные учреждения.">
        <w:r>
          <w:rPr>
            <w:sz w:val="20"/>
            <w:color w:val="0000ff"/>
          </w:rPr>
          <w:t xml:space="preserve">абзаце первом</w:t>
        </w:r>
      </w:hyperlink>
      <w:r>
        <w:rPr>
          <w:sz w:val="20"/>
        </w:rPr>
        <w:t xml:space="preserve"> настоящего пункта, может устанавливаться применение территориального корректирующего коэффициента с учетом условий, обусловленных территориальными особенностями и составом имущественного комплекса, необходимого для выполнения работ, территориальным расположением федеральных бюджетных или автономных учреждений, их обособленных подразделений, отраслевого корректирующего коэффициента и (или) иного корректирующего коэффициента, определяемых в соответствии с таким порядком.</w:t>
      </w:r>
    </w:p>
    <w:p>
      <w:pPr>
        <w:pStyle w:val="0"/>
        <w:spacing w:before="200" w:lineRule="auto"/>
        <w:ind w:firstLine="540"/>
        <w:jc w:val="both"/>
      </w:pPr>
      <w:r>
        <w:rPr>
          <w:sz w:val="20"/>
        </w:rPr>
        <w:t xml:space="preserve">29.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 Нормативные затраты на выполнение работ, по которым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в соответствии с </w:t>
      </w:r>
      <w:hyperlink w:history="0" w:anchor="P165" w:tooltip="28.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а также по решению главного распорядителя средств федерального бюджета, в ведении которого находятся федеральные казенные учреждения.">
        <w:r>
          <w:rPr>
            <w:sz w:val="20"/>
            <w:color w:val="0000ff"/>
          </w:rPr>
          <w:t xml:space="preserve">пунктом 28</w:t>
        </w:r>
      </w:hyperlink>
      <w:r>
        <w:rPr>
          <w:sz w:val="20"/>
        </w:rPr>
        <w:t xml:space="preserve"> настоящего Положения установлены особенности расчета нормативных затрат на выполнение работ, рассчитываются на единицу объема работы. В нормативные затраты на выполнение работы включаются в том числе:</w:t>
      </w:r>
    </w:p>
    <w:p>
      <w:pPr>
        <w:pStyle w:val="0"/>
        <w:spacing w:before="200" w:lineRule="auto"/>
        <w:ind w:firstLine="540"/>
        <w:jc w:val="both"/>
      </w:pPr>
      <w:r>
        <w:rPr>
          <w:sz w:val="20"/>
        </w:rPr>
        <w:t xml:space="preserve">а) затраты на оплату труда работников, непосредственно связанных с выполнением работы, денежное довольствие военнослужащих (сотрудников, имеющих специальное звание), непосредственно связанных с выполнением работы, и обязательные страховые взносы указанных работников;</w:t>
      </w:r>
    </w:p>
    <w:bookmarkStart w:id="172" w:name="P172"/>
    <w:bookmarkEnd w:id="172"/>
    <w:p>
      <w:pPr>
        <w:pStyle w:val="0"/>
        <w:spacing w:before="200" w:lineRule="auto"/>
        <w:ind w:firstLine="540"/>
        <w:jc w:val="both"/>
      </w:pPr>
      <w:r>
        <w:rPr>
          <w:sz w:val="20"/>
        </w:rPr>
        <w:t xml:space="preserve">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pPr>
        <w:pStyle w:val="0"/>
        <w:spacing w:before="200" w:lineRule="auto"/>
        <w:ind w:firstLine="540"/>
        <w:jc w:val="both"/>
      </w:pPr>
      <w:r>
        <w:rPr>
          <w:sz w:val="20"/>
        </w:rPr>
        <w:t xml:space="preserve">б(1). утратил силу. - </w:t>
      </w:r>
      <w:hyperlink w:history="0" r:id="rId39"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в) затраты на иные расходы, непосредственно связанные с выполнением работы;</w:t>
      </w:r>
    </w:p>
    <w:p>
      <w:pPr>
        <w:pStyle w:val="0"/>
        <w:spacing w:before="200" w:lineRule="auto"/>
        <w:ind w:firstLine="540"/>
        <w:jc w:val="both"/>
      </w:pPr>
      <w:r>
        <w:rPr>
          <w:sz w:val="20"/>
        </w:rPr>
        <w:t xml:space="preserve">г) затраты на оплату коммунальных услуг;</w:t>
      </w:r>
    </w:p>
    <w:bookmarkStart w:id="176" w:name="P176"/>
    <w:bookmarkEnd w:id="176"/>
    <w:p>
      <w:pPr>
        <w:pStyle w:val="0"/>
        <w:spacing w:before="200" w:lineRule="auto"/>
        <w:ind w:firstLine="540"/>
        <w:jc w:val="both"/>
      </w:pPr>
      <w:r>
        <w:rPr>
          <w:sz w:val="20"/>
        </w:rPr>
        <w:t xml:space="preserve">д)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w:t>
      </w:r>
    </w:p>
    <w:bookmarkStart w:id="177" w:name="P177"/>
    <w:bookmarkEnd w:id="177"/>
    <w:p>
      <w:pPr>
        <w:pStyle w:val="0"/>
        <w:spacing w:before="200" w:lineRule="auto"/>
        <w:ind w:firstLine="540"/>
        <w:jc w:val="both"/>
      </w:pPr>
      <w:r>
        <w:rPr>
          <w:sz w:val="20"/>
        </w:rPr>
        <w:t xml:space="preserve">е)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w:t>
      </w:r>
    </w:p>
    <w:bookmarkStart w:id="178" w:name="P178"/>
    <w:bookmarkEnd w:id="178"/>
    <w:p>
      <w:pPr>
        <w:pStyle w:val="0"/>
        <w:spacing w:before="200" w:lineRule="auto"/>
        <w:ind w:firstLine="540"/>
        <w:jc w:val="both"/>
      </w:pPr>
      <w:r>
        <w:rPr>
          <w:sz w:val="20"/>
        </w:rPr>
        <w:t xml:space="preserve">ж) утратил силу. - </w:t>
      </w:r>
      <w:hyperlink w:history="0" r:id="rId40"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з) затраты на приобретение услуг связи;</w:t>
      </w:r>
    </w:p>
    <w:p>
      <w:pPr>
        <w:pStyle w:val="0"/>
        <w:spacing w:before="200" w:lineRule="auto"/>
        <w:ind w:firstLine="540"/>
        <w:jc w:val="both"/>
      </w:pPr>
      <w:r>
        <w:rPr>
          <w:sz w:val="20"/>
        </w:rPr>
        <w:t xml:space="preserve">и) затраты на приобретение транспортных услуг;</w:t>
      </w:r>
    </w:p>
    <w:p>
      <w:pPr>
        <w:pStyle w:val="0"/>
        <w:spacing w:before="200" w:lineRule="auto"/>
        <w:ind w:firstLine="540"/>
        <w:jc w:val="both"/>
      </w:pPr>
      <w:r>
        <w:rPr>
          <w:sz w:val="20"/>
        </w:rPr>
        <w:t xml:space="preserve">к) затраты на оплату труда работников, которые не принимают непосредственного участия в выполнении работы, денежное довольствие военнослужащих (сотрудников, имеющих специальное звание), которые не принимают непосредственного участия в выполнении работы, и обязательные страховые взносы указанных работников;</w:t>
      </w:r>
    </w:p>
    <w:p>
      <w:pPr>
        <w:pStyle w:val="0"/>
        <w:spacing w:before="200" w:lineRule="auto"/>
        <w:ind w:firstLine="540"/>
        <w:jc w:val="both"/>
      </w:pPr>
      <w:r>
        <w:rPr>
          <w:sz w:val="20"/>
        </w:rPr>
        <w:t xml:space="preserve">л) затраты на прочие общехозяйственные нужды.</w:t>
      </w:r>
    </w:p>
    <w:p>
      <w:pPr>
        <w:pStyle w:val="0"/>
        <w:spacing w:before="200" w:lineRule="auto"/>
        <w:ind w:firstLine="540"/>
        <w:jc w:val="both"/>
      </w:pPr>
      <w:r>
        <w:rPr>
          <w:sz w:val="20"/>
        </w:rPr>
        <w:t xml:space="preserve">29(1). Утратил силу. - </w:t>
      </w:r>
      <w:hyperlink w:history="0" r:id="rId41"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30. Абзац утратил силу. - </w:t>
      </w:r>
      <w:hyperlink w:history="0" r:id="rId42"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Затраты на аренду имущества, включенные в затраты, указанные в </w:t>
      </w:r>
      <w:hyperlink w:history="0" w:anchor="P172" w:tooltip="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
        <w:r>
          <w:rPr>
            <w:sz w:val="20"/>
            <w:color w:val="0000ff"/>
          </w:rPr>
          <w:t xml:space="preserve">подпунктах "б"</w:t>
        </w:r>
      </w:hyperlink>
      <w:r>
        <w:rPr>
          <w:sz w:val="20"/>
        </w:rPr>
        <w:t xml:space="preserve">, </w:t>
      </w:r>
      <w:hyperlink w:history="0" w:anchor="P176" w:tooltip="д)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
        <w:r>
          <w:rPr>
            <w:sz w:val="20"/>
            <w:color w:val="0000ff"/>
          </w:rPr>
          <w:t xml:space="preserve">"д"</w:t>
        </w:r>
      </w:hyperlink>
      <w:r>
        <w:rPr>
          <w:sz w:val="20"/>
        </w:rPr>
        <w:t xml:space="preserve"> и </w:t>
      </w:r>
      <w:hyperlink w:history="0" w:anchor="P177" w:tooltip="е)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
        <w:r>
          <w:rPr>
            <w:sz w:val="20"/>
            <w:color w:val="0000ff"/>
          </w:rPr>
          <w:t xml:space="preserve">"е" пункта 29</w:t>
        </w:r>
      </w:hyperlink>
      <w:r>
        <w:rPr>
          <w:sz w:val="20"/>
        </w:rP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федеральным бюджетным или автономным учреждением на праве оперативного управления.</w:t>
      </w:r>
    </w:p>
    <w:bookmarkStart w:id="186" w:name="P186"/>
    <w:bookmarkEnd w:id="186"/>
    <w:p>
      <w:pPr>
        <w:pStyle w:val="0"/>
        <w:spacing w:before="200" w:lineRule="auto"/>
        <w:ind w:firstLine="540"/>
        <w:jc w:val="both"/>
      </w:pPr>
      <w:r>
        <w:rPr>
          <w:sz w:val="20"/>
        </w:rPr>
        <w:t xml:space="preserve">31.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федерального государственного учреждения, которое имеет минимальный объем указанных затрат на выполнение работы в установленной сфере, или на основе медианного значения по федеральным государственным учреждениям, выполняющим работу в установленной сфере деятельности, в порядке, предусмотренном </w:t>
      </w:r>
      <w:hyperlink w:history="0" w:anchor="P165" w:tooltip="28.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а также по решению главного распорядителя средств федерального бюджета, в ведении которого находятся федеральные казенные учреждения.">
        <w:r>
          <w:rPr>
            <w:sz w:val="20"/>
            <w:color w:val="0000ff"/>
          </w:rPr>
          <w:t xml:space="preserve">абзацем первым пункта 28</w:t>
        </w:r>
      </w:hyperlink>
      <w:r>
        <w:rPr>
          <w:sz w:val="20"/>
        </w:rPr>
        <w:t xml:space="preserve"> настоящего Положения.</w:t>
      </w:r>
    </w:p>
    <w:bookmarkStart w:id="187" w:name="P187"/>
    <w:bookmarkEnd w:id="187"/>
    <w:p>
      <w:pPr>
        <w:pStyle w:val="0"/>
        <w:spacing w:before="200" w:lineRule="auto"/>
        <w:ind w:firstLine="540"/>
        <w:jc w:val="both"/>
      </w:pPr>
      <w:r>
        <w:rPr>
          <w:sz w:val="20"/>
        </w:rPr>
        <w:t xml:space="preserve">32. Значения нормативных затрат на выполнение работы утверждаются органом, осуществляющим функции и полномочия учредителя, а также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pPr>
        <w:pStyle w:val="0"/>
        <w:spacing w:before="200" w:lineRule="auto"/>
        <w:ind w:firstLine="540"/>
        <w:jc w:val="both"/>
      </w:pPr>
      <w:r>
        <w:rPr>
          <w:sz w:val="20"/>
        </w:rPr>
        <w:t xml:space="preserve">Значения нормативных затрат на выполнение работ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 по согласованию с Министерством финансов Российской Федерации (если иной порядок определения нормативных затрат на выполнение работ не установлен уставом федерального бюджетного или автономного учреждения).</w:t>
      </w:r>
    </w:p>
    <w:p>
      <w:pPr>
        <w:pStyle w:val="0"/>
        <w:spacing w:before="200" w:lineRule="auto"/>
        <w:ind w:firstLine="540"/>
        <w:jc w:val="both"/>
      </w:pPr>
      <w:r>
        <w:rPr>
          <w:sz w:val="20"/>
        </w:rPr>
        <w:t xml:space="preserve">Значения нормативных затрат на выполнение работ федеральным государственным учреждением, устав которого утвержден нормативным правовым актом Президента Российской Федерации, утверждаются указанным учреждением, если иное не предусмотрено уставом такого учреждения.</w:t>
      </w:r>
    </w:p>
    <w:p>
      <w:pPr>
        <w:pStyle w:val="0"/>
        <w:spacing w:before="200" w:lineRule="auto"/>
        <w:ind w:firstLine="540"/>
        <w:jc w:val="both"/>
      </w:pPr>
      <w:r>
        <w:rPr>
          <w:sz w:val="20"/>
        </w:rPr>
        <w:t xml:space="preserve">Значения нормативных затрат на выполнение работ утверждаются в порядке, предусмотренном </w:t>
      </w:r>
      <w:hyperlink w:history="0" w:anchor="P122" w:tooltip="15(1). Значения нормативных затрат на оказание государственной услуги (с учетом корректирующих коэффициентов), не являющиеся сведениями, составляющими государственную тайну, утверждаются в форме электронного документа в системе &quot;Электронный бюджет&quot; путем подписания усиленной квалифицированной электронной подписью лица, имеющего право действовать от имени соответствующего органа исполнительной власти (учреждения).">
        <w:r>
          <w:rPr>
            <w:sz w:val="20"/>
            <w:color w:val="0000ff"/>
          </w:rPr>
          <w:t xml:space="preserve">пунктом 15(1)</w:t>
        </w:r>
      </w:hyperlink>
      <w:r>
        <w:rPr>
          <w:sz w:val="20"/>
        </w:rPr>
        <w:t xml:space="preserve"> настоящего Положения.</w:t>
      </w:r>
    </w:p>
    <w:bookmarkStart w:id="191" w:name="P191"/>
    <w:bookmarkEnd w:id="191"/>
    <w:p>
      <w:pPr>
        <w:pStyle w:val="0"/>
        <w:spacing w:before="200" w:lineRule="auto"/>
        <w:ind w:firstLine="540"/>
        <w:jc w:val="both"/>
      </w:pPr>
      <w:r>
        <w:rPr>
          <w:sz w:val="20"/>
        </w:rPr>
        <w:t xml:space="preserve">33. Утратил силу. - </w:t>
      </w:r>
      <w:hyperlink w:history="0" r:id="rId43" w:tooltip="Постановление Правительства РФ от 10.12.2025 N 200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10.12.2025 N 2005.</w:t>
      </w:r>
    </w:p>
    <w:p>
      <w:pPr>
        <w:pStyle w:val="0"/>
        <w:spacing w:before="200" w:lineRule="auto"/>
        <w:ind w:firstLine="540"/>
        <w:jc w:val="both"/>
      </w:pPr>
      <w:r>
        <w:rPr>
          <w:sz w:val="20"/>
        </w:rPr>
        <w:t xml:space="preserve">34 - 35. Утратили силу. - </w:t>
      </w:r>
      <w:hyperlink w:history="0" r:id="rId44" w:tooltip="Постановление Правительства РФ от 09.07.2019 N 873 (ред. от 10.12.2025)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w:t>
        </w:r>
      </w:hyperlink>
      <w:r>
        <w:rPr>
          <w:sz w:val="20"/>
        </w:rPr>
        <w:t xml:space="preserve"> Правительства РФ от 09.07.2019 N 873.</w:t>
      </w:r>
    </w:p>
    <w:bookmarkStart w:id="193" w:name="P193"/>
    <w:bookmarkEnd w:id="193"/>
    <w:p>
      <w:pPr>
        <w:pStyle w:val="0"/>
        <w:spacing w:before="200" w:lineRule="auto"/>
        <w:ind w:firstLine="540"/>
        <w:jc w:val="both"/>
      </w:pPr>
      <w:r>
        <w:rPr>
          <w:sz w:val="20"/>
        </w:rPr>
        <w:t xml:space="preserve">36. В случае если федеральное бюджетное или автономное учреждение в рамках установленного государственного задания оказывает государственные услуги (выполняет работы) для физических и юридических лиц с взиманием платы в случаях, предусмотренных федеральными законами, объем финансового обеспечения выполнения государственного задания, рассчитанный на основе нормативных затрат, подлежит уменьшению на объем доходов от указанной платной деятельности исходя из объема государственной услуги (работы), за оказание (выполнение) которой предусмотрено взимание платы, и размера платы (цены, тарифа), установленного в государственном задании, органом, осуществляющим функции и полномочия учредителя, с учетом положений, установленных федеральными законами.</w:t>
      </w:r>
    </w:p>
    <w:p>
      <w:pPr>
        <w:pStyle w:val="0"/>
        <w:spacing w:before="200" w:lineRule="auto"/>
        <w:ind w:firstLine="540"/>
        <w:jc w:val="both"/>
      </w:pPr>
      <w:r>
        <w:rPr>
          <w:sz w:val="20"/>
        </w:rPr>
        <w:t xml:space="preserve">37. Утратил силу. - </w:t>
      </w:r>
      <w:hyperlink w:history="0" r:id="rId45" w:tooltip="Постановление Правительства РФ от 13.09.2017 N 1101 (ред. от 10.12.2025)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w:t>
        </w:r>
      </w:hyperlink>
      <w:r>
        <w:rPr>
          <w:sz w:val="20"/>
        </w:rPr>
        <w:t xml:space="preserve"> Правительства РФ от 13.09.2017 N 1101.</w:t>
      </w:r>
    </w:p>
    <w:bookmarkStart w:id="195" w:name="P195"/>
    <w:bookmarkEnd w:id="195"/>
    <w:p>
      <w:pPr>
        <w:pStyle w:val="0"/>
        <w:spacing w:before="200" w:lineRule="auto"/>
        <w:ind w:firstLine="540"/>
        <w:jc w:val="both"/>
      </w:pPr>
      <w:r>
        <w:rPr>
          <w:sz w:val="20"/>
        </w:rPr>
        <w:t xml:space="preserve">38. Нормативные затраты (затраты), определяемые в соответствии с настоящим Положением, учитываются при формировании обоснований бюджетных ассигнований федерального бюджета на очередной финансовый год и плановый период.</w:t>
      </w:r>
    </w:p>
    <w:p>
      <w:pPr>
        <w:pStyle w:val="0"/>
        <w:spacing w:before="200" w:lineRule="auto"/>
        <w:ind w:firstLine="540"/>
        <w:jc w:val="both"/>
      </w:pPr>
      <w:r>
        <w:rPr>
          <w:sz w:val="20"/>
        </w:rPr>
        <w:t xml:space="preserve">39. Финансовое обеспечение выполнения государственного задания осуществляется в пределах бюджетных ассигнований, предусмотренных в федеральном бюджете на указанные цели.</w:t>
      </w:r>
    </w:p>
    <w:p>
      <w:pPr>
        <w:pStyle w:val="0"/>
        <w:spacing w:before="200" w:lineRule="auto"/>
        <w:ind w:firstLine="540"/>
        <w:jc w:val="both"/>
      </w:pPr>
      <w:r>
        <w:rPr>
          <w:sz w:val="20"/>
        </w:rPr>
        <w:t xml:space="preserve">Финансовое обеспечение выполнения государственного задания федеральным бюджетным или автономным учреждением осуществляется путем предоставления субсидии.</w:t>
      </w:r>
    </w:p>
    <w:p>
      <w:pPr>
        <w:pStyle w:val="0"/>
        <w:spacing w:before="200" w:lineRule="auto"/>
        <w:ind w:firstLine="540"/>
        <w:jc w:val="both"/>
      </w:pPr>
      <w:r>
        <w:rPr>
          <w:sz w:val="20"/>
        </w:rPr>
        <w:t xml:space="preserve">Финансовое обеспечение выполнения государственного задания федеральным казенным учреждением осуществляется в соответствии с показателями бюджетной сметы этого учреждения.</w:t>
      </w:r>
    </w:p>
    <w:bookmarkStart w:id="199" w:name="P199"/>
    <w:bookmarkEnd w:id="199"/>
    <w:p>
      <w:pPr>
        <w:pStyle w:val="0"/>
        <w:spacing w:before="200" w:lineRule="auto"/>
        <w:ind w:firstLine="540"/>
        <w:jc w:val="both"/>
      </w:pPr>
      <w:r>
        <w:rPr>
          <w:sz w:val="20"/>
        </w:rPr>
        <w:t xml:space="preserve">39(1). В случае если при формировании главным распорядителем средств федерального бюджета обоснований бюджетных ассигнований федерального бюджета на очередной финансовый год и плановый период (внесении изменений в обоснования бюджетных ассигнований федерального бюджета на текущий финансовый год и плановый период) объем субсидии, рассчитанный в соответствии с настоящим Положением, превышает объем бюджетных ассигнований, предусмотренных главному распорядителю средств федерального бюджета на предоставление субсидий, применяется коэффициент выравнивания (Квр), значение которого не может превышать единицу и определяется по формуле:</w:t>
      </w:r>
    </w:p>
    <w:p>
      <w:pPr>
        <w:pStyle w:val="0"/>
        <w:ind w:firstLine="540"/>
        <w:jc w:val="both"/>
      </w:pPr>
      <w:r>
        <w:rPr>
          <w:sz w:val="20"/>
        </w:rPr>
      </w:r>
    </w:p>
    <w:p>
      <w:pPr>
        <w:pStyle w:val="0"/>
        <w:jc w:val="center"/>
      </w:pPr>
      <w:r>
        <w:rPr>
          <w:position w:val="-25"/>
        </w:rPr>
        <w:drawing>
          <wp:inline distT="0" distB="0" distL="0" distR="0">
            <wp:extent cx="11049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104900" cy="4476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БА - объем бюджетных ассигнований, предусмотренных в очередном финансовом году в федеральном бюджете главному распорядителю средств федерального бюджета на предоставление субсидий;</w:t>
      </w:r>
    </w:p>
    <w:p>
      <w:pPr>
        <w:pStyle w:val="0"/>
        <w:spacing w:before="200" w:lineRule="auto"/>
        <w:ind w:firstLine="540"/>
        <w:jc w:val="both"/>
      </w:pPr>
      <w:r>
        <w:rPr>
          <w:sz w:val="20"/>
        </w:rPr>
        <w:t xml:space="preserve">ОФО</w:t>
      </w:r>
      <w:r>
        <w:rPr>
          <w:sz w:val="20"/>
          <w:vertAlign w:val="subscript"/>
        </w:rPr>
        <w:t xml:space="preserve">i</w:t>
      </w:r>
      <w:r>
        <w:rPr>
          <w:sz w:val="20"/>
        </w:rPr>
        <w:t xml:space="preserve"> - планируемый объем субсидии на очередной финансовый год, необходимый i-му федеральному бюджетному или автономному учреждению для выполнения государственного задания.</w:t>
      </w:r>
    </w:p>
    <w:p>
      <w:pPr>
        <w:pStyle w:val="0"/>
        <w:spacing w:before="200" w:lineRule="auto"/>
        <w:ind w:firstLine="540"/>
        <w:jc w:val="both"/>
      </w:pPr>
      <w:r>
        <w:rPr>
          <w:sz w:val="20"/>
        </w:rPr>
        <w:t xml:space="preserve">В случае внесения изменений в обоснования бюджетных ассигнований федерального бюджета на текущий финансовый год и плановый период коэффициент выравнивания (Квр) может быть уточнен главным распорядителем средств федерального бюджета в пределах значения, предусмотренного </w:t>
      </w:r>
      <w:hyperlink w:history="0" w:anchor="P199" w:tooltip="39(1). В случае если при формировании главным распорядителем средств федерального бюджета обоснований бюджетных ассигнований федерального бюджета на очередной финансовый год и плановый период (внесении изменений в обоснования бюджетных ассигнований федерального бюджета на текущий финансовый год и плановый период) объем субсидии, рассчитанный в соответствии с настоящим Положением, превышает объем бюджетных ассигнований, предусмотренных главному распорядителю средств федерального бюджета на предоставление ...">
        <w:r>
          <w:rPr>
            <w:sz w:val="20"/>
            <w:color w:val="0000ff"/>
          </w:rPr>
          <w:t xml:space="preserve">абзацем первым</w:t>
        </w:r>
      </w:hyperlink>
      <w:r>
        <w:rPr>
          <w:sz w:val="20"/>
        </w:rPr>
        <w:t xml:space="preserve"> настоящего пункта.</w:t>
      </w:r>
    </w:p>
    <w:bookmarkStart w:id="207" w:name="P207"/>
    <w:bookmarkEnd w:id="207"/>
    <w:p>
      <w:pPr>
        <w:pStyle w:val="0"/>
        <w:spacing w:before="200" w:lineRule="auto"/>
        <w:ind w:firstLine="540"/>
        <w:jc w:val="both"/>
      </w:pPr>
      <w:r>
        <w:rPr>
          <w:sz w:val="20"/>
        </w:rPr>
        <w:t xml:space="preserve">40. Финансовое обеспечение оказания государственных услуг (выполнения работ) обособленными подразделениями федерального государственного учреждения в случае, установленном </w:t>
      </w:r>
      <w:hyperlink w:history="0" w:anchor="P86" w:tooltip="7.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 установленной для государственного задания, согласно приложению N 1(1) органом, осуществляющим функции и полномочия учредителя, - в отношении федеральных ...">
        <w:r>
          <w:rPr>
            <w:sz w:val="20"/>
            <w:color w:val="0000ff"/>
          </w:rPr>
          <w:t xml:space="preserve">пунктом 7</w:t>
        </w:r>
      </w:hyperlink>
      <w:r>
        <w:rPr>
          <w:sz w:val="20"/>
        </w:rPr>
        <w:t xml:space="preserve">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федеральным государственным учреждением в соответствии с правовым актом федерального государственного учреждения, создавшего обособленное подразделение. По решению органа, осуществляющего функции и полномочия учредителя, указанный правовой акт подлежит согласованию с органом, осуществляющим функции и полномочия учредителя.</w:t>
      </w:r>
    </w:p>
    <w:p>
      <w:pPr>
        <w:pStyle w:val="0"/>
        <w:spacing w:before="200" w:lineRule="auto"/>
        <w:ind w:firstLine="540"/>
        <w:jc w:val="both"/>
      </w:pPr>
      <w:r>
        <w:rPr>
          <w:sz w:val="20"/>
        </w:rPr>
        <w:t xml:space="preserve">Правовой акт, предусмотренный </w:t>
      </w:r>
      <w:hyperlink w:history="0" w:anchor="P207" w:tooltip="40. Финансовое обеспечение оказания государственных услуг (выполнения работ) обособленными подразделениями федерального государственного учреждения в случае, установленном пунктом 7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федеральным государственным учреждением в соответствии с правовым актом федерального государственного учреждения, создавшего обособленное подразделение. По реше...">
        <w:r>
          <w:rPr>
            <w:sz w:val="20"/>
            <w:color w:val="0000ff"/>
          </w:rPr>
          <w:t xml:space="preserve">абзацем первым</w:t>
        </w:r>
      </w:hyperlink>
      <w:r>
        <w:rPr>
          <w:sz w:val="20"/>
        </w:rPr>
        <w:t xml:space="preserve"> настоящего пункта, должен содержать также положения об объеме и периодичности перечисления средств на финансовое обеспечение выполнения государственного задания в течение финансового года и порядок взаимодействия федерального государственного учреждения с обособленным подразделением.</w:t>
      </w:r>
    </w:p>
    <w:p>
      <w:pPr>
        <w:pStyle w:val="0"/>
        <w:spacing w:before="200" w:lineRule="auto"/>
        <w:ind w:firstLine="540"/>
        <w:jc w:val="both"/>
      </w:pPr>
      <w:r>
        <w:rPr>
          <w:sz w:val="20"/>
        </w:rPr>
        <w:t xml:space="preserve">41. Уменьшение объема субсидии в течение срока выполнения государственного задания осуществляется только при соответствующем изменении государственного задания.</w:t>
      </w:r>
    </w:p>
    <w:p>
      <w:pPr>
        <w:pStyle w:val="0"/>
        <w:spacing w:before="200" w:lineRule="auto"/>
        <w:ind w:firstLine="540"/>
        <w:jc w:val="both"/>
      </w:pPr>
      <w:r>
        <w:rPr>
          <w:sz w:val="20"/>
        </w:rPr>
        <w:t xml:space="preserve">Изменение нормативных затрат, определяемых в соответствии с настоящим Положением, в течение срока выполнения государственного задания осуществляется (при необходимости) в случаях, предусмотренных нормативными правовыми актами Российской Федерации (включая внесение изменений в указанные нормативные правовые акты), приводящих к изменению объема финансового обеспечения выполнения государственного задания.</w:t>
      </w:r>
    </w:p>
    <w:bookmarkStart w:id="211" w:name="P211"/>
    <w:bookmarkEnd w:id="211"/>
    <w:p>
      <w:pPr>
        <w:pStyle w:val="0"/>
        <w:spacing w:before="200" w:lineRule="auto"/>
        <w:ind w:firstLine="540"/>
        <w:jc w:val="both"/>
      </w:pPr>
      <w:r>
        <w:rPr>
          <w:sz w:val="20"/>
        </w:rPr>
        <w:t xml:space="preserve">Объем субсидии может быть изменен в течение срока выполнения государственного задания в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государственного задания.</w:t>
      </w:r>
    </w:p>
    <w:p>
      <w:pPr>
        <w:pStyle w:val="0"/>
        <w:spacing w:before="200" w:lineRule="auto"/>
        <w:ind w:firstLine="540"/>
        <w:jc w:val="both"/>
      </w:pPr>
      <w:r>
        <w:rPr>
          <w:sz w:val="20"/>
        </w:rPr>
        <w:t xml:space="preserve">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государственных услуг (невыполненных работ), подлежат перечислению в установленном порядке федеральными бюджетными или автономными учреждениями в федеральный бюджет и учитываются в порядке, установленном для учета сумм возврата дебиторской задолженности.</w:t>
      </w:r>
    </w:p>
    <w:p>
      <w:pPr>
        <w:pStyle w:val="0"/>
        <w:spacing w:before="200" w:lineRule="auto"/>
        <w:ind w:firstLine="540"/>
        <w:jc w:val="both"/>
      </w:pPr>
      <w:r>
        <w:rPr>
          <w:sz w:val="20"/>
        </w:rPr>
        <w:t xml:space="preserve">При досрочном прекращении выполнения государственного задания в связи с реорганизацией федерального бюджетного или автономного учреждения неиспользованные остатки субсидии подлежат перечислению соответствующим федеральным бюджетным и автономным учреждениям, являющимся правопреемниками.</w:t>
      </w:r>
    </w:p>
    <w:p>
      <w:pPr>
        <w:pStyle w:val="0"/>
        <w:spacing w:before="200" w:lineRule="auto"/>
        <w:ind w:firstLine="540"/>
        <w:jc w:val="both"/>
      </w:pPr>
      <w:r>
        <w:rPr>
          <w:sz w:val="20"/>
        </w:rPr>
        <w:t xml:space="preserve">При изменении в течение текущего финансового года типа федерального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pPr>
        <w:pStyle w:val="0"/>
        <w:spacing w:before="200" w:lineRule="auto"/>
        <w:ind w:firstLine="540"/>
        <w:jc w:val="both"/>
      </w:pPr>
      <w:r>
        <w:rPr>
          <w:sz w:val="20"/>
        </w:rPr>
        <w:t xml:space="preserve">41(1). При внесении изменений в показатели государственного задания при реорганизации федерального бюджетного или автономного учреждения (в случаях, предусмотренных абзацами пятым - восьмым пункта 6 настоящего Положения):</w:t>
      </w:r>
    </w:p>
    <w:p>
      <w:pPr>
        <w:pStyle w:val="0"/>
        <w:spacing w:before="200" w:lineRule="auto"/>
        <w:ind w:firstLine="540"/>
        <w:jc w:val="both"/>
      </w:pPr>
      <w:r>
        <w:rPr>
          <w:sz w:val="20"/>
        </w:rPr>
        <w:t xml:space="preserve">в форме присоединения или слияния - объем субсидии, предоставляемой федеральному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pPr>
        <w:pStyle w:val="0"/>
        <w:spacing w:before="200" w:lineRule="auto"/>
        <w:ind w:firstLine="540"/>
        <w:jc w:val="both"/>
      </w:pPr>
      <w:r>
        <w:rPr>
          <w:sz w:val="20"/>
        </w:rPr>
        <w:t xml:space="preserve">в форме выделения - объем субсидии, предоставляемой федеральному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pPr>
        <w:pStyle w:val="0"/>
        <w:spacing w:before="200" w:lineRule="auto"/>
        <w:ind w:firstLine="540"/>
        <w:jc w:val="both"/>
      </w:pPr>
      <w:r>
        <w:rPr>
          <w:sz w:val="20"/>
        </w:rPr>
        <w:t xml:space="preserve">в форме разделения - объем субсидии, предоставляемой вновь возникшим юридическим лицам, формируется путем разделения объема субсидии, предоставленной федеральному бюджетному или автономному учреждению, прекращающему свою деятельность в результате реорганизации.</w:t>
      </w:r>
    </w:p>
    <w:p>
      <w:pPr>
        <w:pStyle w:val="0"/>
        <w:spacing w:before="200" w:lineRule="auto"/>
        <w:ind w:firstLine="540"/>
        <w:jc w:val="both"/>
      </w:pPr>
      <w:r>
        <w:rPr>
          <w:sz w:val="20"/>
        </w:rPr>
        <w:t xml:space="preserve">Объем субсидий, предоставленных учреждениям, прекращающим свою деятельность в результате реорганизации, принимает нулевое значение.</w:t>
      </w:r>
    </w:p>
    <w:p>
      <w:pPr>
        <w:pStyle w:val="0"/>
        <w:spacing w:before="200" w:lineRule="auto"/>
        <w:ind w:firstLine="540"/>
        <w:jc w:val="both"/>
      </w:pPr>
      <w:r>
        <w:rPr>
          <w:sz w:val="20"/>
        </w:rPr>
        <w:t xml:space="preserve">После завершения реорганизации объем субсидий, предоставляемых реорганизованным федеральным бюджетным или автономным учреждениям, за исключением федеральных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федеральному бюджетному или автономному учреждению до начала реорганизации.</w:t>
      </w:r>
    </w:p>
    <w:p>
      <w:pPr>
        <w:pStyle w:val="0"/>
        <w:spacing w:before="200" w:lineRule="auto"/>
        <w:ind w:firstLine="540"/>
        <w:jc w:val="both"/>
      </w:pPr>
      <w:r>
        <w:rPr>
          <w:sz w:val="20"/>
        </w:rPr>
        <w:t xml:space="preserve">42.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вправе утвердить по согласованию с Министерством финансов Российской Федерации методические рекомендации по распределению субсидий, предоставляемых федеральным бюджетным или автономным учреждениям, оказывающим (выполняющим) услуги (работы) в сферах деятельности, по которым указанными органами сформированы общероссийские базовые перечни и (или) федеральные перечни.</w:t>
      </w:r>
    </w:p>
    <w:p>
      <w:pPr>
        <w:pStyle w:val="0"/>
        <w:spacing w:before="200" w:lineRule="auto"/>
        <w:ind w:firstLine="540"/>
        <w:jc w:val="both"/>
      </w:pPr>
      <w:r>
        <w:rPr>
          <w:sz w:val="20"/>
        </w:rPr>
        <w:t xml:space="preserve">43. Субсидия перечисляется в установленном порядке на счет территориального органа Федерального казначейства по месту открытия лицевого счета федеральному бюджетному или автономному учреждению или на счет, открытый в кредитной организации федеральному бюджетному или автономному учреждению, осуществляющему деятельность за пределами территории Российской Федерации.</w:t>
      </w:r>
    </w:p>
    <w:bookmarkStart w:id="223" w:name="P223"/>
    <w:bookmarkEnd w:id="223"/>
    <w:p>
      <w:pPr>
        <w:pStyle w:val="0"/>
        <w:spacing w:before="200" w:lineRule="auto"/>
        <w:ind w:firstLine="540"/>
        <w:jc w:val="both"/>
      </w:pPr>
      <w:r>
        <w:rPr>
          <w:sz w:val="20"/>
        </w:rPr>
        <w:t xml:space="preserve">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с федеральным бюджетным или автономным учреждением в соответствии с типовой </w:t>
      </w:r>
      <w:hyperlink w:history="0" r:id="rId4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утвержденной Министерством финансов Российской Федерации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государственного задания.</w:t>
      </w:r>
    </w:p>
    <w:p>
      <w:pPr>
        <w:pStyle w:val="0"/>
        <w:spacing w:before="200" w:lineRule="auto"/>
        <w:ind w:firstLine="540"/>
        <w:jc w:val="both"/>
      </w:pPr>
      <w:r>
        <w:rPr>
          <w:sz w:val="20"/>
        </w:rPr>
        <w:t xml:space="preserve">Предоставление субсидии федеральным бюджетным или автономным учреждениям, выполняющим функции главного распорядителя средств федерального бюджета, осуществляется в соответствии с правовым актом этого учреждения,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w:t>
      </w:r>
    </w:p>
    <w:p>
      <w:pPr>
        <w:pStyle w:val="0"/>
        <w:spacing w:before="200" w:lineRule="auto"/>
        <w:ind w:firstLine="540"/>
        <w:jc w:val="both"/>
      </w:pPr>
      <w:r>
        <w:rPr>
          <w:sz w:val="20"/>
        </w:rPr>
        <w:t xml:space="preserve">Соглашение, не содержащее сведений, составляющих государственную тайну, а также дополнение к нему (при наличии), в том числе дополнительное соглашение о расторжении соглашения о порядке и условиях предоставления субсидии (при наличии), формируются и подписываются сторонами в системе "Электронный бюджет".</w:t>
      </w:r>
    </w:p>
    <w:p>
      <w:pPr>
        <w:pStyle w:val="0"/>
        <w:spacing w:before="200" w:lineRule="auto"/>
        <w:ind w:firstLine="540"/>
        <w:jc w:val="both"/>
      </w:pPr>
      <w:r>
        <w:rPr>
          <w:sz w:val="20"/>
        </w:rPr>
        <w:t xml:space="preserve">Соглашение, не содержащее сведений, составляющих государственную тайну, а также дополнение к нему (при наличии), в том числе дополнительное соглашение о расторжении соглашения о порядке и условиях предоставления субсидии (при наличии), с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если иное не предусмотрено уставами федеральных бюджетных и автономных учреждений, формируются в системе "Электронный бюджет" и подписываются сторонами.</w:t>
      </w:r>
    </w:p>
    <w:p>
      <w:pPr>
        <w:pStyle w:val="0"/>
        <w:spacing w:before="200" w:lineRule="auto"/>
        <w:ind w:firstLine="540"/>
        <w:jc w:val="both"/>
      </w:pPr>
      <w:r>
        <w:rPr>
          <w:sz w:val="20"/>
        </w:rPr>
        <w:t xml:space="preserve">Соглашение, а также дополнительное соглашение к нему (при наличии), в том числе дополнительное соглашение о расторжении соглашения о порядке и условиях предоставления субсидии (при наличии), не содержащее сведений, составляющих государственную тайну, подлежит обязательному размещению в реестре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Указанный реестр размещается на едином портале бюджетной системы Российской Федерации.</w:t>
      </w:r>
    </w:p>
    <w:bookmarkStart w:id="228" w:name="P228"/>
    <w:bookmarkEnd w:id="228"/>
    <w:p>
      <w:pPr>
        <w:pStyle w:val="0"/>
        <w:spacing w:before="200" w:lineRule="auto"/>
        <w:ind w:firstLine="540"/>
        <w:jc w:val="both"/>
      </w:pPr>
      <w:r>
        <w:rPr>
          <w:sz w:val="20"/>
        </w:rPr>
        <w:t xml:space="preserve">45. Перечисление субсидии осуществляется в соответствии с графиком, содержащимся в соглашении или правовых актах, указанных в </w:t>
      </w:r>
      <w:hyperlink w:history="0" w:anchor="P207" w:tooltip="40. Финансовое обеспечение оказания государственных услуг (выполнения работ) обособленными подразделениями федерального государственного учреждения в случае, установленном пунктом 7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федеральным государственным учреждением в соответствии с правовым актом федерального государственного учреждения, создавшего обособленное подразделение. По реше...">
        <w:r>
          <w:rPr>
            <w:sz w:val="20"/>
            <w:color w:val="0000ff"/>
          </w:rPr>
          <w:t xml:space="preserve">пунктах 40</w:t>
        </w:r>
      </w:hyperlink>
      <w:r>
        <w:rPr>
          <w:sz w:val="20"/>
        </w:rPr>
        <w:t xml:space="preserve"> и </w:t>
      </w:r>
      <w:hyperlink w:history="0" w:anchor="P223" w:tooltip="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с федеральным бюджетным или автономным учреждением в соответствии с типовой формой, утвержденной Министерством финансов Российской Федерации (далее - соглашение). Соглашение определяет права, обязанности и ответственность сторон, в том числе объем ...">
        <w:r>
          <w:rPr>
            <w:sz w:val="20"/>
            <w:color w:val="0000ff"/>
          </w:rPr>
          <w:t xml:space="preserve">44</w:t>
        </w:r>
      </w:hyperlink>
      <w:r>
        <w:rPr>
          <w:sz w:val="20"/>
        </w:rPr>
        <w:t xml:space="preserve"> настоящего Положения, не реже одного раза в квартал в сумме, не превышающей:</w:t>
      </w:r>
    </w:p>
    <w:p>
      <w:pPr>
        <w:pStyle w:val="0"/>
        <w:spacing w:before="200" w:lineRule="auto"/>
        <w:ind w:firstLine="540"/>
        <w:jc w:val="both"/>
      </w:pPr>
      <w:r>
        <w:rPr>
          <w:sz w:val="20"/>
        </w:rPr>
        <w:t xml:space="preserve">а) 25 процентов годового размера субсидии в течение I квартала;</w:t>
      </w:r>
    </w:p>
    <w:p>
      <w:pPr>
        <w:pStyle w:val="0"/>
        <w:spacing w:before="200" w:lineRule="auto"/>
        <w:ind w:firstLine="540"/>
        <w:jc w:val="both"/>
      </w:pPr>
      <w:r>
        <w:rPr>
          <w:sz w:val="20"/>
        </w:rPr>
        <w:t xml:space="preserve">б) 50 процентов годового размера субсидии в течение первого полугодия;</w:t>
      </w:r>
    </w:p>
    <w:p>
      <w:pPr>
        <w:pStyle w:val="0"/>
        <w:spacing w:before="200" w:lineRule="auto"/>
        <w:ind w:firstLine="540"/>
        <w:jc w:val="both"/>
      </w:pPr>
      <w:r>
        <w:rPr>
          <w:sz w:val="20"/>
        </w:rPr>
        <w:t xml:space="preserve">в) 75 процентов годового размера субсидии в течение 9 месяцев.</w:t>
      </w:r>
    </w:p>
    <w:bookmarkStart w:id="232" w:name="P232"/>
    <w:bookmarkEnd w:id="232"/>
    <w:p>
      <w:pPr>
        <w:pStyle w:val="0"/>
        <w:spacing w:before="200" w:lineRule="auto"/>
        <w:ind w:firstLine="540"/>
        <w:jc w:val="both"/>
      </w:pPr>
      <w:r>
        <w:rPr>
          <w:sz w:val="20"/>
        </w:rPr>
        <w:t xml:space="preserve">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отчета о выполнении государственного задания, предусмотренной </w:t>
      </w:r>
      <w:hyperlink w:history="0" w:anchor="P1272" w:tooltip="                           ОТЧЕТ О ВЫПОЛНЕНИИ">
        <w:r>
          <w:rPr>
            <w:sz w:val="20"/>
            <w:color w:val="0000ff"/>
          </w:rPr>
          <w:t xml:space="preserve">приложением N 2</w:t>
        </w:r>
      </w:hyperlink>
      <w:r>
        <w:rPr>
          <w:sz w:val="20"/>
        </w:rPr>
        <w:t xml:space="preserve">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государственных услуг, указанные в предварительном отчете, меньше показателей, установленных в государственном задании (с учетом допустимых (возможных) отклонений), то государственное задание подлежит уточнению в соответствии с указанными в предварительном отчете показателями.</w:t>
      </w:r>
    </w:p>
    <w:p>
      <w:pPr>
        <w:pStyle w:val="0"/>
        <w:spacing w:before="200" w:lineRule="auto"/>
        <w:ind w:firstLine="540"/>
        <w:jc w:val="both"/>
      </w:pPr>
      <w:r>
        <w:rPr>
          <w:sz w:val="20"/>
        </w:rPr>
        <w:t xml:space="preserve">Если на основании отчета о выполнении государственного задания, предусмотренного </w:t>
      </w:r>
      <w:hyperlink w:history="0" w:anchor="P243"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приложением N 2 к настоящему Положению, в соответствии с требованиями, установленными в государственном задании.">
        <w:r>
          <w:rPr>
            <w:sz w:val="20"/>
            <w:color w:val="0000ff"/>
          </w:rPr>
          <w:t xml:space="preserve">пунктом 47</w:t>
        </w:r>
      </w:hyperlink>
      <w:r>
        <w:rPr>
          <w:sz w:val="20"/>
        </w:rPr>
        <w:t xml:space="preserve"> настоящего Положения, показатели объема, указанные в отчете о выполнении государственного задания, меньше показателей, установленных в государственном задании (с учетом допустимых (возможных) отклонений), то соответствующие средства субсидии подлежат перечислению в федеральный бюджет в соответствии с бюджетным законодательством Российской Федерации в объеме, соответствующем показателям, характеризующим объем неоказанной государственной услуги (невыполненной работы), и учитываются в порядке, установленном для учета сумм возврата дебиторской задолженности.</w:t>
      </w:r>
    </w:p>
    <w:p>
      <w:pPr>
        <w:pStyle w:val="0"/>
        <w:spacing w:before="200" w:lineRule="auto"/>
        <w:ind w:firstLine="540"/>
        <w:jc w:val="both"/>
      </w:pPr>
      <w:r>
        <w:rPr>
          <w:sz w:val="20"/>
        </w:rPr>
        <w:t xml:space="preserve">Предварительный отчет об исполнении государственного задания в части работ за соответствующий финансовый год, указанный в </w:t>
      </w:r>
      <w:hyperlink w:history="0" w:anchor="P232" w:tooltip="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
        <w:r>
          <w:rPr>
            <w:sz w:val="20"/>
            <w:color w:val="0000ff"/>
          </w:rPr>
          <w:t xml:space="preserve">абзаце первом</w:t>
        </w:r>
      </w:hyperlink>
      <w:r>
        <w:rPr>
          <w:sz w:val="20"/>
        </w:rPr>
        <w:t xml:space="preserve"> настоящего пункта, представляется федеральным бюджетным или автономным учреждением при установлении органом, осуществляющим функции и полномочия учредителя, требования о его представлении в государственном задании. В случае если органом, осуществляющим функции и полномочия учредителя, устанавливаются требования о представлении предварительного отчета о выполнении государственного задания в части, касающейся работ, за соответствующий финансовый год, заполнение и оценка предварительного отчета осуществляется в порядке, определенном </w:t>
      </w:r>
      <w:hyperlink w:history="0" w:anchor="P232" w:tooltip="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
        <w:r>
          <w:rPr>
            <w:sz w:val="20"/>
            <w:color w:val="0000ff"/>
          </w:rPr>
          <w:t xml:space="preserve">абзацем первым</w:t>
        </w:r>
      </w:hyperlink>
      <w:r>
        <w:rPr>
          <w:sz w:val="20"/>
        </w:rPr>
        <w:t xml:space="preserve"> настоящего пункта.</w:t>
      </w:r>
    </w:p>
    <w:bookmarkStart w:id="235" w:name="P235"/>
    <w:bookmarkEnd w:id="235"/>
    <w:p>
      <w:pPr>
        <w:pStyle w:val="0"/>
        <w:spacing w:before="200" w:lineRule="auto"/>
        <w:ind w:firstLine="540"/>
        <w:jc w:val="both"/>
      </w:pPr>
      <w:r>
        <w:rPr>
          <w:sz w:val="20"/>
        </w:rPr>
        <w:t xml:space="preserve">Расчет объема субсидии, подлежащей возврату в федеральный бюджет, осуществляется с применением нормативных затрат на оказание государственных услуг (выполнение работ), определяемых в соответствии с настоящим Положением, по форме, предусмотренной соглашением.</w:t>
      </w:r>
    </w:p>
    <w:p>
      <w:pPr>
        <w:pStyle w:val="0"/>
        <w:spacing w:before="200" w:lineRule="auto"/>
        <w:ind w:firstLine="540"/>
        <w:jc w:val="both"/>
      </w:pPr>
      <w:r>
        <w:rPr>
          <w:sz w:val="20"/>
        </w:rPr>
        <w:t xml:space="preserve">Федеральные бюджетные или автономные учреждения обеспечивают возврат в федеральный бюджет субсидии в объеме, рассчитанном в соответствии с положениями </w:t>
      </w:r>
      <w:hyperlink w:history="0" w:anchor="P235" w:tooltip="Расчет объема субсидии, подлежащей возврату в федеральный бюджет, осуществляется с применением нормативных затрат на оказание государственных услуг (выполнение работ), определяемых в соответствии с настоящим Положением, по форме, предусмотренной соглашением.">
        <w:r>
          <w:rPr>
            <w:sz w:val="20"/>
            <w:color w:val="0000ff"/>
          </w:rPr>
          <w:t xml:space="preserve">абзаца четвертого</w:t>
        </w:r>
      </w:hyperlink>
      <w:r>
        <w:rPr>
          <w:sz w:val="20"/>
        </w:rPr>
        <w:t xml:space="preserve"> настоящего пункта, не позднее 1 мая текущего финансового года.</w:t>
      </w:r>
    </w:p>
    <w:bookmarkStart w:id="237" w:name="P237"/>
    <w:bookmarkEnd w:id="237"/>
    <w:p>
      <w:pPr>
        <w:pStyle w:val="0"/>
        <w:spacing w:before="200" w:lineRule="auto"/>
        <w:ind w:firstLine="540"/>
        <w:jc w:val="both"/>
      </w:pPr>
      <w:r>
        <w:rPr>
          <w:sz w:val="20"/>
        </w:rPr>
        <w:t xml:space="preserve">46(1). Требования, установленные </w:t>
      </w:r>
      <w:hyperlink w:history="0" w:anchor="P228" w:tooltip="45. Перечисление субсидии осуществляется в соответствии с графиком, содержащимся в соглашении или правовых актах, указанных в пунктах 40 и 44 настоящего Положения, не реже одного раза в квартал в сумме, не превышающей:">
        <w:r>
          <w:rPr>
            <w:sz w:val="20"/>
            <w:color w:val="0000ff"/>
          </w:rPr>
          <w:t xml:space="preserve">пунктами 45</w:t>
        </w:r>
      </w:hyperlink>
      <w:r>
        <w:rPr>
          <w:sz w:val="20"/>
        </w:rPr>
        <w:t xml:space="preserve"> и </w:t>
      </w:r>
      <w:hyperlink w:history="0" w:anchor="P232" w:tooltip="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
        <w:r>
          <w:rPr>
            <w:sz w:val="20"/>
            <w:color w:val="0000ff"/>
          </w:rPr>
          <w:t xml:space="preserve">46</w:t>
        </w:r>
      </w:hyperlink>
      <w:r>
        <w:rPr>
          <w:sz w:val="20"/>
        </w:rPr>
        <w:t xml:space="preserve"> настоящего Положения, связанные с перечислением субсидии, не распространяются:</w:t>
      </w:r>
    </w:p>
    <w:p>
      <w:pPr>
        <w:pStyle w:val="0"/>
        <w:spacing w:before="200" w:lineRule="auto"/>
        <w:ind w:firstLine="540"/>
        <w:jc w:val="both"/>
      </w:pPr>
      <w:r>
        <w:rPr>
          <w:sz w:val="20"/>
        </w:rPr>
        <w:t xml:space="preserve">а) на федеральное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pPr>
        <w:pStyle w:val="0"/>
        <w:spacing w:before="200" w:lineRule="auto"/>
        <w:ind w:firstLine="540"/>
        <w:jc w:val="both"/>
      </w:pPr>
      <w:r>
        <w:rPr>
          <w:sz w:val="20"/>
        </w:rPr>
        <w:t xml:space="preserve">б) на учреждение, находящееся в процессе реорганизации или ликвидации;</w:t>
      </w:r>
    </w:p>
    <w:p>
      <w:pPr>
        <w:pStyle w:val="0"/>
        <w:spacing w:before="200" w:lineRule="auto"/>
        <w:ind w:firstLine="540"/>
        <w:jc w:val="both"/>
      </w:pPr>
      <w:r>
        <w:rPr>
          <w:sz w:val="20"/>
        </w:rPr>
        <w:t xml:space="preserve">в) на предоставление субсидии в части выплат в рамках указов Президента Российской Федерации от 7 мая 2012 г. </w:t>
      </w:r>
      <w:hyperlink w:history="0" r:id="rId48"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N 597</w:t>
        </w:r>
      </w:hyperlink>
      <w:r>
        <w:rPr>
          <w:sz w:val="20"/>
        </w:rPr>
        <w:t xml:space="preserve"> "О мероприятиях по реализации государственной социальной политики", от 1 июня 2012 г. </w:t>
      </w:r>
      <w:hyperlink w:history="0" r:id="rId49" w:tooltip="Указ Президента РФ от 01.06.2012 N 761 &quot;О Национальной стратегии действий в интересах детей на 2012 - 2017 годы&quot; {КонсультантПлюс}">
        <w:r>
          <w:rPr>
            <w:sz w:val="20"/>
            <w:color w:val="0000ff"/>
          </w:rPr>
          <w:t xml:space="preserve">N 761</w:t>
        </w:r>
      </w:hyperlink>
      <w:r>
        <w:rPr>
          <w:sz w:val="20"/>
        </w:rPr>
        <w:t xml:space="preserve"> "О Национальной стратегии действий в интересах детей на 2012 - 2017 годы" и от 28 декабря 2012 г. </w:t>
      </w:r>
      <w:hyperlink w:history="0" r:id="rId50" w:tooltip="Указ Президента РФ от 28.12.2012 N 1688 (ред. от 14.11.2017) &quot;О некоторых мерах по реализации государственной политики в сфере защиты детей-сирот и детей, оставшихся без попечения родителей&quot; {КонсультантПлюс}">
        <w:r>
          <w:rPr>
            <w:sz w:val="20"/>
            <w:color w:val="0000ff"/>
          </w:rPr>
          <w:t xml:space="preserve">N 1688</w:t>
        </w:r>
      </w:hyperlink>
      <w:r>
        <w:rPr>
          <w:sz w:val="20"/>
        </w:rPr>
        <w:t xml:space="preserve"> "О некоторых мерах по реализации государственной политики в сфере защиты детей-сирот и детей, оставшихся без попечения родителей", а также в установленных </w:t>
      </w:r>
      <w:hyperlink w:history="0" w:anchor="P211" w:tooltip="Объем субсидии может быть изменен в течение срока выполнения государственного задания в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государственного задания.">
        <w:r>
          <w:rPr>
            <w:sz w:val="20"/>
            <w:color w:val="0000ff"/>
          </w:rPr>
          <w:t xml:space="preserve">абзацем третьим пункта 41</w:t>
        </w:r>
      </w:hyperlink>
      <w:r>
        <w:rPr>
          <w:sz w:val="20"/>
        </w:rPr>
        <w:t xml:space="preserve"> настоящего Положения случаях, приводящих к изменению объема субсидии в течение срока выполнения государственного задания;</w:t>
      </w:r>
    </w:p>
    <w:p>
      <w:pPr>
        <w:pStyle w:val="0"/>
        <w:spacing w:before="200" w:lineRule="auto"/>
        <w:ind w:firstLine="540"/>
        <w:jc w:val="both"/>
      </w:pPr>
      <w:r>
        <w:rPr>
          <w:sz w:val="20"/>
        </w:rPr>
        <w:t xml:space="preserve">г) на федеральное бюджетное или автономное учреждение, оказывающее государственные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не установлено иное.</w:t>
      </w:r>
    </w:p>
    <w:p>
      <w:pPr>
        <w:pStyle w:val="0"/>
        <w:spacing w:before="200" w:lineRule="auto"/>
        <w:ind w:firstLine="540"/>
        <w:jc w:val="both"/>
      </w:pPr>
      <w:r>
        <w:rPr>
          <w:sz w:val="20"/>
        </w:rPr>
        <w:t xml:space="preserve">46(2). При изменении подведомственности федерального государственного учреждения после перечисления платежа, завершающего выплату субсидии, в IV квартале изменение стороны в соглашении в части изменения наименования органа, осуществляющего функции и полномочия учредителя, не производится.</w:t>
      </w:r>
    </w:p>
    <w:bookmarkStart w:id="243" w:name="P243"/>
    <w:bookmarkEnd w:id="243"/>
    <w:p>
      <w:pPr>
        <w:pStyle w:val="0"/>
        <w:spacing w:before="200" w:lineRule="auto"/>
        <w:ind w:firstLine="540"/>
        <w:jc w:val="both"/>
      </w:pPr>
      <w:r>
        <w:rPr>
          <w:sz w:val="20"/>
        </w:rPr>
        <w:t xml:space="preserve">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w:t>
      </w:r>
      <w:hyperlink w:history="0" w:anchor="P1272" w:tooltip="                           ОТЧЕТ О ВЫПОЛНЕНИИ">
        <w:r>
          <w:rPr>
            <w:sz w:val="20"/>
            <w:color w:val="0000ff"/>
          </w:rPr>
          <w:t xml:space="preserve">приложением N 2</w:t>
        </w:r>
      </w:hyperlink>
      <w:r>
        <w:rPr>
          <w:sz w:val="20"/>
        </w:rPr>
        <w:t xml:space="preserve"> к настоящему Положению, в соответствии с требованиями, установленными в государственном задании.</w:t>
      </w:r>
    </w:p>
    <w:p>
      <w:pPr>
        <w:pStyle w:val="0"/>
        <w:spacing w:before="200" w:lineRule="auto"/>
        <w:ind w:firstLine="540"/>
        <w:jc w:val="both"/>
      </w:pPr>
      <w:r>
        <w:rPr>
          <w:sz w:val="20"/>
        </w:rPr>
        <w:t xml:space="preserve">При изменении подведомственности федерального государственного учреждения после представления таким учреждением предварительного отчета о выполнении государственного задания и перечисления платежа, завершающего выплату субсидии, в IV квартале отчет о выполнении государственного задания представляется органу, утвердившему государственное задание и предоставившему субсидию.</w:t>
      </w:r>
    </w:p>
    <w:p>
      <w:pPr>
        <w:pStyle w:val="0"/>
        <w:spacing w:before="200" w:lineRule="auto"/>
        <w:ind w:firstLine="540"/>
        <w:jc w:val="both"/>
      </w:pPr>
      <w:r>
        <w:rPr>
          <w:sz w:val="20"/>
        </w:rPr>
        <w:t xml:space="preserve">Указанный отчет представляется в сроки, установленные государственным заданием, но не позднее 1 марта финансового года, следующего за отчетным.</w:t>
      </w:r>
    </w:p>
    <w:p>
      <w:pPr>
        <w:pStyle w:val="0"/>
        <w:spacing w:before="200" w:lineRule="auto"/>
        <w:ind w:firstLine="540"/>
        <w:jc w:val="both"/>
      </w:pPr>
      <w:r>
        <w:rPr>
          <w:sz w:val="20"/>
        </w:rPr>
        <w:t xml:space="preserve">Орган, осуществляющий функции и полномочия учредителя, главный распорядитель средств федерального бюджета, в ведении которого находятся федеральные казенные учреждения, принимает отчет о выполнении государственного задания в течение 20 рабочих дней, следующих за днем его представления федеральным государственным учреждением в соответствии с абзацем первым настоящего пункта.</w:t>
      </w:r>
    </w:p>
    <w:p>
      <w:pPr>
        <w:pStyle w:val="0"/>
        <w:spacing w:before="200" w:lineRule="auto"/>
        <w:ind w:firstLine="540"/>
        <w:jc w:val="both"/>
      </w:pPr>
      <w:r>
        <w:rPr>
          <w:sz w:val="20"/>
        </w:rPr>
        <w:t xml:space="preserve">В случае если органом, осуществляющим функции и полномочия учредителя, главным распорядителем средств федерального бюджета, в ведении которого находятся федеральные казенные учреждения, предусмотрено представление отчета о выполнении государственного задания в части, касающейся показателей объема оказания государственных услуг (выполнения работ), на иную дату (ежемесячно, ежеквартально), показатели отчета формируются на отчетную дату нарастающим итогом с начала года.</w:t>
      </w:r>
    </w:p>
    <w:p>
      <w:pPr>
        <w:pStyle w:val="0"/>
        <w:spacing w:before="200" w:lineRule="auto"/>
        <w:ind w:firstLine="540"/>
        <w:jc w:val="both"/>
      </w:pPr>
      <w:r>
        <w:rPr>
          <w:sz w:val="20"/>
        </w:rPr>
        <w:t xml:space="preserve">При этом орган, осуществляющий функции и полномочия учредителя, главный распорядитель средств федерального бюджета, в ведении которого находятся федеральные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государственных услуг (выполнения работ) или в натуральных показателях как для государственного задания в целом, так и относительно его части (с учетом неравномерного процесса их оказания (выполнения).</w:t>
      </w:r>
    </w:p>
    <w:p>
      <w:pPr>
        <w:pStyle w:val="0"/>
        <w:spacing w:before="200" w:lineRule="auto"/>
        <w:ind w:firstLine="540"/>
        <w:jc w:val="both"/>
      </w:pPr>
      <w:r>
        <w:rPr>
          <w:sz w:val="20"/>
        </w:rPr>
        <w:t xml:space="preserve">48. Контроль за выполнением государственного задания федеральными бюджетными и автономными учреждениями, федеральными казенными учреждениями осуществляют соответственно органы, осуществляющие функции и полномочия учредителя, и главные распорядители средств федерального бюджета, в ведении которых находятся федеральные казенные учреждения, а также федеральный орган исполнительной власти, осуществляющий функции по контролю и надзору в финансово-бюджетной сфере.</w:t>
      </w:r>
    </w:p>
    <w:p>
      <w:pPr>
        <w:pStyle w:val="0"/>
        <w:spacing w:before="200" w:lineRule="auto"/>
        <w:ind w:firstLine="540"/>
        <w:jc w:val="both"/>
      </w:pPr>
      <w:hyperlink w:history="0" r:id="rId51"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Правила</w:t>
        </w:r>
      </w:hyperlink>
      <w:r>
        <w:rPr>
          <w:sz w:val="20"/>
        </w:rPr>
        <w:t xml:space="preserve"> осуществления контроля органами, осуществляющими функции и полномочия учредителей, и главными распорядителями средств федерального бюджета, в ведении которых находятся федеральные казенные учреждения, за выполнением государственного задания устанавливаются указанными органами и должны предусматривать в том числе:</w:t>
      </w:r>
    </w:p>
    <w:p>
      <w:pPr>
        <w:pStyle w:val="0"/>
        <w:spacing w:before="200" w:lineRule="auto"/>
        <w:ind w:firstLine="540"/>
        <w:jc w:val="both"/>
      </w:pPr>
      <w:r>
        <w:rPr>
          <w:sz w:val="20"/>
        </w:rPr>
        <w:t xml:space="preserve">документы, применяемые федеральным государственным учреждением в целях подтверждения информации о потребителях оказываемых государственных услуг (выполняемых работ) и выполнения содержащихся в государственном задании показателей объема оказываемых услуг (выполняемых работ), а также (при необходимости) формы указанных документов;</w:t>
      </w:r>
    </w:p>
    <w:p>
      <w:pPr>
        <w:pStyle w:val="0"/>
        <w:spacing w:before="200" w:lineRule="auto"/>
        <w:ind w:firstLine="540"/>
        <w:jc w:val="both"/>
      </w:pPr>
      <w:r>
        <w:rPr>
          <w:sz w:val="20"/>
        </w:rPr>
        <w:t xml:space="preserve">формы аналитической отчетности, подтверждающие оказание услуг (выполнение работ) и периодичность ее формирования.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формировании</w:t>
      </w:r>
    </w:p>
    <w:p>
      <w:pPr>
        <w:pStyle w:val="0"/>
        <w:jc w:val="right"/>
      </w:pPr>
      <w:r>
        <w:rPr>
          <w:sz w:val="20"/>
        </w:rPr>
        <w:t xml:space="preserve">государственного задания на оказание</w:t>
      </w:r>
    </w:p>
    <w:p>
      <w:pPr>
        <w:pStyle w:val="0"/>
        <w:jc w:val="right"/>
      </w:pPr>
      <w:r>
        <w:rPr>
          <w:sz w:val="20"/>
        </w:rPr>
        <w:t xml:space="preserve">государственных услуг (выполнение</w:t>
      </w:r>
    </w:p>
    <w:p>
      <w:pPr>
        <w:pStyle w:val="0"/>
        <w:jc w:val="right"/>
      </w:pPr>
      <w:r>
        <w:rPr>
          <w:sz w:val="20"/>
        </w:rPr>
        <w:t xml:space="preserve">работ) в отношении федеральных</w:t>
      </w:r>
    </w:p>
    <w:p>
      <w:pPr>
        <w:pStyle w:val="0"/>
        <w:jc w:val="right"/>
      </w:pPr>
      <w:r>
        <w:rPr>
          <w:sz w:val="20"/>
        </w:rPr>
        <w:t xml:space="preserve">государственных учреждений</w:t>
      </w:r>
    </w:p>
    <w:p>
      <w:pPr>
        <w:pStyle w:val="0"/>
        <w:jc w:val="right"/>
      </w:pPr>
      <w:r>
        <w:rPr>
          <w:sz w:val="20"/>
        </w:rPr>
        <w:t xml:space="preserve">и финансовом обеспечении выполнения</w:t>
      </w:r>
    </w:p>
    <w:p>
      <w:pPr>
        <w:pStyle w:val="0"/>
        <w:jc w:val="right"/>
      </w:pPr>
      <w:r>
        <w:rPr>
          <w:sz w:val="20"/>
        </w:rPr>
        <w:t xml:space="preserve">государственного задания</w:t>
      </w:r>
    </w:p>
    <w:p>
      <w:pPr>
        <w:pStyle w:val="0"/>
        <w:jc w:val="center"/>
      </w:pPr>
      <w:r>
        <w:rPr>
          <w:sz w:val="20"/>
        </w:rPr>
      </w:r>
    </w:p>
    <w:p>
      <w:pPr>
        <w:pStyle w:val="1"/>
        <w:jc w:val="both"/>
      </w:pPr>
      <w:r>
        <w:rPr>
          <w:sz w:val="20"/>
        </w:rPr>
        <w:t xml:space="preserve">                                                  УТВЕРЖДАЮ</w:t>
      </w:r>
    </w:p>
    <w:p>
      <w:pPr>
        <w:pStyle w:val="1"/>
        <w:jc w:val="both"/>
      </w:pPr>
      <w:r>
        <w:rPr>
          <w:sz w:val="20"/>
        </w:rPr>
        <w:t xml:space="preserve">                                     Руководитель</w:t>
      </w:r>
    </w:p>
    <w:p>
      <w:pPr>
        <w:pStyle w:val="1"/>
        <w:jc w:val="both"/>
      </w:pPr>
      <w:r>
        <w:rPr>
          <w:sz w:val="20"/>
        </w:rPr>
        <w:t xml:space="preserve">                                     (уполномоченное лицо)</w:t>
      </w:r>
    </w:p>
    <w:p>
      <w:pPr>
        <w:pStyle w:val="1"/>
        <w:jc w:val="both"/>
      </w:pPr>
      <w:r>
        <w:rPr>
          <w:sz w:val="20"/>
        </w:rPr>
        <w:t xml:space="preserve">                                     ______________________________________</w:t>
      </w:r>
    </w:p>
    <w:p>
      <w:pPr>
        <w:pStyle w:val="1"/>
        <w:jc w:val="both"/>
      </w:pPr>
      <w:r>
        <w:rPr>
          <w:sz w:val="20"/>
        </w:rPr>
        <w:t xml:space="preserve">                                      (наименование органа, осуществляющего</w:t>
      </w:r>
    </w:p>
    <w:p>
      <w:pPr>
        <w:pStyle w:val="1"/>
        <w:jc w:val="both"/>
      </w:pPr>
      <w:r>
        <w:rPr>
          <w:sz w:val="20"/>
        </w:rPr>
        <w:t xml:space="preserve">                                        функции и полномочия учредителя,</w:t>
      </w:r>
    </w:p>
    <w:p>
      <w:pPr>
        <w:pStyle w:val="1"/>
        <w:jc w:val="both"/>
      </w:pPr>
      <w:r>
        <w:rPr>
          <w:sz w:val="20"/>
        </w:rPr>
        <w:t xml:space="preserve">                                         главного распорядителя средств</w:t>
      </w:r>
    </w:p>
    <w:p>
      <w:pPr>
        <w:pStyle w:val="1"/>
        <w:jc w:val="both"/>
      </w:pPr>
      <w:r>
        <w:rPr>
          <w:sz w:val="20"/>
        </w:rPr>
        <w:t xml:space="preserve">                                       федерального бюджета, федерального</w:t>
      </w:r>
    </w:p>
    <w:p>
      <w:pPr>
        <w:pStyle w:val="1"/>
        <w:jc w:val="both"/>
      </w:pPr>
      <w:r>
        <w:rPr>
          <w:sz w:val="20"/>
        </w:rPr>
        <w:t xml:space="preserve">                                          государственного учреждения)</w:t>
      </w:r>
    </w:p>
    <w:p>
      <w:pPr>
        <w:pStyle w:val="1"/>
        <w:jc w:val="both"/>
      </w:pPr>
      <w:r>
        <w:rPr>
          <w:sz w:val="20"/>
        </w:rPr>
        <w:t xml:space="preserve">                                     ___________ _________ ________________</w:t>
      </w:r>
    </w:p>
    <w:p>
      <w:pPr>
        <w:pStyle w:val="1"/>
        <w:jc w:val="both"/>
      </w:pPr>
      <w:r>
        <w:rPr>
          <w:sz w:val="20"/>
        </w:rPr>
        <w:t xml:space="preserve">                                     (должность)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                                          "__" ______________ 20__ г.</w:t>
      </w:r>
    </w:p>
    <w:p>
      <w:pPr>
        <w:pStyle w:val="1"/>
        <w:jc w:val="both"/>
      </w:pPr>
      <w:r>
        <w:rPr>
          <w:sz w:val="20"/>
        </w:rPr>
      </w:r>
    </w:p>
    <w:p>
      <w:pPr>
        <w:pStyle w:val="1"/>
        <w:jc w:val="both"/>
      </w:pPr>
      <w:r>
        <w:rPr>
          <w:sz w:val="20"/>
        </w:rPr>
        <w:t xml:space="preserve">                                                         ┌────┐</w:t>
      </w:r>
    </w:p>
    <w:bookmarkStart w:id="283" w:name="P283"/>
    <w:bookmarkEnd w:id="283"/>
    <w:p>
      <w:pPr>
        <w:pStyle w:val="1"/>
        <w:jc w:val="both"/>
      </w:pPr>
      <w:r>
        <w:rPr>
          <w:sz w:val="20"/>
        </w:rPr>
        <w:t xml:space="preserve">                      ГОСУДАРСТВЕННОЕ ЗАДАНИЕ N </w:t>
      </w:r>
      <w:hyperlink w:history="0" w:anchor="P809" w:tooltip="&lt;1&gt; Номер государственного задания присваивается в системе &quot;Электронный бюджет&quot;.">
        <w:r>
          <w:rPr>
            <w:sz w:val="20"/>
            <w:color w:val="0000ff"/>
          </w:rPr>
          <w:t xml:space="preserve">&lt;1&gt;</w:t>
        </w:r>
      </w:hyperlink>
      <w:r>
        <w:rPr>
          <w:sz w:val="20"/>
        </w:rPr>
        <w:t xml:space="preserve">      │    │</w:t>
      </w:r>
    </w:p>
    <w:p>
      <w:pPr>
        <w:pStyle w:val="1"/>
        <w:jc w:val="both"/>
      </w:pPr>
      <w:r>
        <w:rPr>
          <w:sz w:val="20"/>
        </w:rPr>
        <w:t xml:space="preserve">                                                         └────┘</w:t>
      </w:r>
    </w:p>
    <w:p>
      <w:pPr>
        <w:pStyle w:val="1"/>
        <w:jc w:val="both"/>
      </w:pPr>
      <w:r>
        <w:rPr>
          <w:sz w:val="20"/>
        </w:rPr>
        <w:t xml:space="preserve">            на 20__ год и на плановый период 20__ и 20__ годов</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3061"/>
        <w:gridCol w:w="3175"/>
        <w:gridCol w:w="1871"/>
        <w:gridCol w:w="964"/>
      </w:tblGrid>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tcBorders>
              <w:top w:val="nil"/>
              <w:left w:val="nil"/>
              <w:bottom w:val="nil"/>
              <w:right w:val="single" w:sz="4"/>
            </w:tcBorders>
          </w:tcPr>
          <w:p>
            <w:pPr>
              <w:pStyle w:val="0"/>
            </w:pPr>
            <w:r>
              <w:rPr>
                <w:sz w:val="20"/>
              </w:rPr>
            </w:r>
          </w:p>
        </w:tc>
        <w:tc>
          <w:tcPr>
            <w:tcW w:w="964" w:type="dxa"/>
            <w:tcBorders>
              <w:top w:val="single" w:sz="4"/>
              <w:left w:val="single" w:sz="4"/>
              <w:bottom w:val="single" w:sz="4"/>
              <w:right w:val="single" w:sz="4"/>
            </w:tcBorders>
          </w:tcPr>
          <w:p>
            <w:pPr>
              <w:pStyle w:val="0"/>
              <w:jc w:val="center"/>
            </w:pPr>
            <w:r>
              <w:rPr>
                <w:sz w:val="20"/>
              </w:rPr>
              <w:t xml:space="preserve">Коды</w:t>
            </w:r>
          </w:p>
        </w:tc>
      </w:tr>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vAlign w:val="bottom"/>
            <w:tcBorders>
              <w:top w:val="nil"/>
              <w:left w:val="nil"/>
              <w:bottom w:val="nil"/>
              <w:right w:val="single" w:sz="4"/>
            </w:tcBorders>
          </w:tcPr>
          <w:p>
            <w:pPr>
              <w:pStyle w:val="0"/>
              <w:jc w:val="right"/>
            </w:pPr>
            <w:r>
              <w:rPr>
                <w:sz w:val="20"/>
              </w:rPr>
              <w:t xml:space="preserve">Форма по </w:t>
            </w:r>
            <w:hyperlink w:history="0" r:id="rId52" w:tooltip="&quot;ОК 011-93. Общероссийский классификатор управленческой документации&quot; (утв. Постановлением Госстандарта России от 30.12.1993 N 299) (ред. от 11.09.2025) {КонсультантПлюс}">
              <w:r>
                <w:rPr>
                  <w:sz w:val="20"/>
                  <w:color w:val="0000ff"/>
                </w:rPr>
                <w:t xml:space="preserve">ОКУД</w:t>
              </w:r>
            </w:hyperlink>
          </w:p>
        </w:tc>
        <w:tc>
          <w:tcPr>
            <w:tcW w:w="964" w:type="dxa"/>
            <w:vAlign w:val="bottom"/>
            <w:tcBorders>
              <w:top w:val="single" w:sz="4"/>
              <w:left w:val="single" w:sz="4"/>
              <w:bottom w:val="single" w:sz="4"/>
              <w:right w:val="single" w:sz="4"/>
            </w:tcBorders>
          </w:tcPr>
          <w:p>
            <w:pPr>
              <w:pStyle w:val="0"/>
              <w:jc w:val="center"/>
            </w:pPr>
            <w:r>
              <w:rPr>
                <w:sz w:val="20"/>
              </w:rPr>
              <w:t xml:space="preserve">0506001</w:t>
            </w:r>
          </w:p>
        </w:tc>
      </w:tr>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tcBorders>
              <w:top w:val="nil"/>
              <w:left w:val="nil"/>
              <w:bottom w:val="nil"/>
              <w:right w:val="single" w:sz="4"/>
            </w:tcBorders>
          </w:tcPr>
          <w:p>
            <w:pPr>
              <w:pStyle w:val="0"/>
            </w:pPr>
            <w:r>
              <w:rPr>
                <w:sz w:val="20"/>
              </w:rPr>
            </w:r>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vAlign w:val="bottom"/>
            <w:tcBorders>
              <w:top w:val="nil"/>
              <w:left w:val="nil"/>
              <w:bottom w:val="nil"/>
              <w:right w:val="single" w:sz="4"/>
            </w:tcBorders>
          </w:tcPr>
          <w:p>
            <w:pPr>
              <w:pStyle w:val="0"/>
              <w:jc w:val="right"/>
            </w:pPr>
            <w:r>
              <w:rPr>
                <w:sz w:val="20"/>
              </w:rPr>
              <w:t xml:space="preserve">Дата начала действия</w:t>
            </w:r>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tcBorders>
              <w:top w:val="nil"/>
              <w:left w:val="nil"/>
              <w:bottom w:val="nil"/>
              <w:right w:val="single" w:sz="4"/>
            </w:tcBorders>
          </w:tcPr>
          <w:p>
            <w:pPr>
              <w:pStyle w:val="0"/>
              <w:jc w:val="right"/>
            </w:pPr>
            <w:r>
              <w:rPr>
                <w:sz w:val="20"/>
              </w:rPr>
              <w:t xml:space="preserve">Дата окончания действия </w:t>
            </w:r>
            <w:hyperlink w:history="0" w:anchor="P810" w:tooltip="&lt;2&gt; Заполняется в случае досрочного прекращения выполнения государственного задания.">
              <w:r>
                <w:rPr>
                  <w:sz w:val="20"/>
                  <w:color w:val="0000ff"/>
                </w:rPr>
                <w:t xml:space="preserve">&lt;2&gt;</w:t>
              </w:r>
            </w:hyperlink>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t xml:space="preserve">Наименование федерального государственного учреждения (обособленного подразделения)</w:t>
            </w:r>
          </w:p>
        </w:tc>
        <w:tc>
          <w:tcPr>
            <w:tcW w:w="3175" w:type="dxa"/>
            <w:vAlign w:val="bottom"/>
            <w:tcBorders>
              <w:top w:val="nil"/>
              <w:left w:val="nil"/>
              <w:bottom w:val="single" w:sz="4"/>
              <w:right w:val="nil"/>
            </w:tcBorders>
          </w:tcPr>
          <w:p>
            <w:pPr>
              <w:pStyle w:val="0"/>
            </w:pPr>
            <w:r>
              <w:rPr>
                <w:sz w:val="20"/>
              </w:rPr>
            </w:r>
          </w:p>
        </w:tc>
        <w:tc>
          <w:tcPr>
            <w:tcW w:w="1871" w:type="dxa"/>
            <w:tcBorders>
              <w:top w:val="nil"/>
              <w:left w:val="nil"/>
              <w:bottom w:val="nil"/>
              <w:right w:val="single" w:sz="4"/>
            </w:tcBorders>
          </w:tcPr>
          <w:p>
            <w:pPr>
              <w:pStyle w:val="0"/>
              <w:jc w:val="right"/>
            </w:pPr>
            <w:r>
              <w:rPr>
                <w:sz w:val="20"/>
              </w:rPr>
              <w:t xml:space="preserve">Код по сводному реестру</w:t>
            </w:r>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t xml:space="preserve">Вид деятельности федерального государственного учреждения (обособленного подразделения)</w:t>
            </w:r>
          </w:p>
        </w:tc>
        <w:tc>
          <w:tcPr>
            <w:tcW w:w="3175" w:type="dxa"/>
            <w:tcBorders>
              <w:top w:val="single" w:sz="4"/>
              <w:left w:val="nil"/>
              <w:bottom w:val="single" w:sz="4"/>
              <w:right w:val="nil"/>
            </w:tcBorders>
          </w:tcPr>
          <w:p>
            <w:pPr>
              <w:pStyle w:val="0"/>
            </w:pPr>
            <w:r>
              <w:rPr>
                <w:sz w:val="20"/>
              </w:rPr>
            </w:r>
          </w:p>
        </w:tc>
        <w:tc>
          <w:tcPr>
            <w:tcW w:w="1871" w:type="dxa"/>
            <w:vAlign w:val="bottom"/>
            <w:tcBorders>
              <w:top w:val="nil"/>
              <w:left w:val="nil"/>
              <w:bottom w:val="nil"/>
              <w:right w:val="single" w:sz="4"/>
            </w:tcBorders>
          </w:tcPr>
          <w:p>
            <w:pPr>
              <w:pStyle w:val="0"/>
              <w:jc w:val="right"/>
            </w:pPr>
            <w:r>
              <w:rPr>
                <w:sz w:val="20"/>
              </w:rPr>
              <w:t xml:space="preserve">По </w:t>
            </w: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ОКВЭД</w:t>
              </w:r>
            </w:hyperlink>
          </w:p>
        </w:tc>
        <w:tc>
          <w:tcPr>
            <w:tcW w:w="964" w:type="dxa"/>
            <w:tcBorders>
              <w:top w:val="single" w:sz="4"/>
              <w:left w:val="single" w:sz="4"/>
              <w:bottom w:val="single" w:sz="4"/>
              <w:right w:val="single" w:sz="4"/>
            </w:tcBorders>
          </w:tcPr>
          <w:p>
            <w:pPr>
              <w:pStyle w:val="0"/>
            </w:pPr>
            <w:r>
              <w:rPr>
                <w:sz w:val="20"/>
              </w:rPr>
            </w:r>
          </w:p>
        </w:tc>
      </w:tr>
      <w:tr>
        <w:tblPrEx>
          <w:tblBorders>
            <w:insideH w:val="single" w:sz="4"/>
          </w:tblBorders>
        </w:tblPrEx>
        <w:tc>
          <w:tcPr>
            <w:tcW w:w="3061" w:type="dxa"/>
            <w:tcBorders>
              <w:top w:val="nil"/>
              <w:left w:val="nil"/>
              <w:bottom w:val="nil"/>
              <w:right w:val="nil"/>
            </w:tcBorders>
            <w:vMerge w:val="restart"/>
          </w:tcPr>
          <w:p>
            <w:pPr>
              <w:pStyle w:val="0"/>
            </w:pPr>
            <w:r>
              <w:rPr>
                <w:sz w:val="20"/>
              </w:rPr>
            </w:r>
          </w:p>
        </w:tc>
        <w:tc>
          <w:tcPr>
            <w:tcW w:w="3175" w:type="dxa"/>
            <w:tcBorders>
              <w:top w:val="single" w:sz="4"/>
              <w:left w:val="nil"/>
              <w:bottom w:val="single" w:sz="4"/>
              <w:right w:val="nil"/>
            </w:tcBorders>
          </w:tcPr>
          <w:p>
            <w:pPr>
              <w:pStyle w:val="0"/>
            </w:pPr>
            <w:r>
              <w:rPr>
                <w:sz w:val="20"/>
              </w:rPr>
            </w:r>
          </w:p>
        </w:tc>
        <w:tc>
          <w:tcPr>
            <w:tcW w:w="1871" w:type="dxa"/>
            <w:tcBorders>
              <w:top w:val="nil"/>
              <w:left w:val="nil"/>
              <w:bottom w:val="nil"/>
              <w:right w:val="single" w:sz="4"/>
            </w:tcBorders>
          </w:tcPr>
          <w:p>
            <w:pPr>
              <w:pStyle w:val="0"/>
              <w:jc w:val="right"/>
            </w:pPr>
            <w:r>
              <w:rPr>
                <w:sz w:val="20"/>
              </w:rPr>
              <w:t xml:space="preserve">По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ОКВЭД</w:t>
              </w:r>
            </w:hyperlink>
          </w:p>
        </w:tc>
        <w:tc>
          <w:tcPr>
            <w:tcW w:w="964" w:type="dxa"/>
            <w:tcBorders>
              <w:top w:val="single" w:sz="4"/>
              <w:left w:val="single" w:sz="4"/>
              <w:bottom w:val="single" w:sz="4"/>
              <w:right w:val="single" w:sz="4"/>
            </w:tcBorders>
          </w:tcPr>
          <w:p>
            <w:pPr>
              <w:pStyle w:val="0"/>
            </w:pPr>
            <w:r>
              <w:rPr>
                <w:sz w:val="20"/>
              </w:rPr>
            </w:r>
          </w:p>
        </w:tc>
      </w:tr>
      <w:tr>
        <w:tblPrEx>
          <w:tblBorders>
            <w:insideH w:val="single" w:sz="4"/>
          </w:tblBorders>
        </w:tblPrEx>
        <w:tc>
          <w:tcPr>
            <w:tcBorders>
              <w:top w:val="nil"/>
              <w:left w:val="nil"/>
              <w:bottom w:val="nil"/>
              <w:right w:val="nil"/>
            </w:tcBorders>
            <w:vMerge w:val="continue"/>
          </w:tcPr>
          <w:p/>
        </w:tc>
        <w:tc>
          <w:tcPr>
            <w:tcW w:w="3175" w:type="dxa"/>
            <w:vAlign w:val="bottom"/>
            <w:tcBorders>
              <w:top w:val="single" w:sz="4"/>
              <w:left w:val="nil"/>
              <w:bottom w:val="single" w:sz="4"/>
              <w:right w:val="nil"/>
            </w:tcBorders>
          </w:tcPr>
          <w:p>
            <w:pPr>
              <w:pStyle w:val="0"/>
            </w:pPr>
            <w:r>
              <w:rPr>
                <w:sz w:val="20"/>
              </w:rPr>
            </w:r>
          </w:p>
        </w:tc>
        <w:tc>
          <w:tcPr>
            <w:tcW w:w="1871" w:type="dxa"/>
            <w:vAlign w:val="bottom"/>
            <w:tcBorders>
              <w:top w:val="nil"/>
              <w:left w:val="nil"/>
              <w:bottom w:val="nil"/>
              <w:right w:val="single" w:sz="4"/>
            </w:tcBorders>
          </w:tcPr>
          <w:p>
            <w:pPr>
              <w:pStyle w:val="0"/>
              <w:jc w:val="right"/>
            </w:pPr>
            <w:r>
              <w:rPr>
                <w:sz w:val="20"/>
              </w:rPr>
              <w:t xml:space="preserve">По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ОКВЭД</w:t>
              </w:r>
            </w:hyperlink>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r>
          </w:p>
        </w:tc>
        <w:tc>
          <w:tcPr>
            <w:tcW w:w="3175" w:type="dxa"/>
            <w:tcBorders>
              <w:top w:val="single" w:sz="4"/>
              <w:left w:val="nil"/>
              <w:bottom w:val="nil"/>
              <w:right w:val="nil"/>
            </w:tcBorders>
          </w:tcPr>
          <w:p>
            <w:pPr>
              <w:pStyle w:val="0"/>
              <w:jc w:val="center"/>
            </w:pPr>
            <w:r>
              <w:rPr>
                <w:sz w:val="20"/>
              </w:rPr>
              <w:t xml:space="preserve">(указываются виды деятельности федерального государственного учреждения, по которым ему утверждается государственное задание)</w:t>
            </w:r>
          </w:p>
        </w:tc>
        <w:tc>
          <w:tcPr>
            <w:tcW w:w="1871" w:type="dxa"/>
            <w:tcBorders>
              <w:top w:val="nil"/>
              <w:left w:val="nil"/>
              <w:bottom w:val="nil"/>
              <w:right w:val="single" w:sz="4"/>
            </w:tcBorders>
          </w:tcPr>
          <w:p>
            <w:pPr>
              <w:pStyle w:val="0"/>
            </w:pPr>
            <w:r>
              <w:rPr>
                <w:sz w:val="20"/>
              </w:rPr>
            </w:r>
          </w:p>
        </w:tc>
        <w:tc>
          <w:tcPr>
            <w:tcW w:w="964"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1"/>
        <w:jc w:val="both"/>
      </w:pPr>
      <w:r>
        <w:rPr>
          <w:sz w:val="20"/>
        </w:rPr>
        <w:t xml:space="preserve">       Часть I. Сведения об оказываемых государственных услугах </w:t>
      </w:r>
      <w:hyperlink w:history="0" w:anchor="P811" w:tooltip="&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0"/>
            <w:color w:val="0000ff"/>
          </w:rPr>
          <w:t xml:space="preserve">&lt;3&gt;</w:t>
        </w:r>
      </w:hyperlink>
    </w:p>
    <w:p>
      <w:pPr>
        <w:pStyle w:val="1"/>
        <w:jc w:val="both"/>
      </w:pPr>
      <w:r>
        <w:rPr>
          <w:sz w:val="20"/>
        </w:rPr>
      </w:r>
    </w:p>
    <w:p>
      <w:pPr>
        <w:pStyle w:val="1"/>
        <w:jc w:val="both"/>
      </w:pPr>
      <w:r>
        <w:rPr>
          <w:sz w:val="20"/>
        </w:rPr>
        <w:t xml:space="preserve">                                Раздел ____</w:t>
      </w:r>
    </w:p>
    <w:p>
      <w:pPr>
        <w:pStyle w:val="0"/>
        <w:jc w:val="both"/>
      </w:pPr>
      <w:r>
        <w:rPr>
          <w:sz w:val="20"/>
        </w:rPr>
      </w:r>
    </w:p>
    <w:tbl>
      <w:tblPr>
        <w:tblInd w:w="0" w:type="dxa"/>
        <w:tblLayout w:type="fixed"/>
        <w:tblCellMar>
          <w:top w:w="102" w:type="dxa"/>
          <w:left w:w="62" w:type="dxa"/>
          <w:bottom w:w="102" w:type="dxa"/>
          <w:right w:w="62" w:type="dxa"/>
        </w:tblCellMar>
      </w:tblPr>
      <w:tblGrid>
        <w:gridCol w:w="1871"/>
        <w:gridCol w:w="3628"/>
        <w:gridCol w:w="2211"/>
        <w:gridCol w:w="1361"/>
      </w:tblGrid>
      <w:tr>
        <w:tblPrEx>
          <w:tblBorders>
            <w:right w:val="single" w:sz="4"/>
          </w:tblBorders>
        </w:tblPrEx>
        <w:tc>
          <w:tcPr>
            <w:tcW w:w="1871" w:type="dxa"/>
            <w:tcBorders>
              <w:top w:val="nil"/>
              <w:left w:val="nil"/>
              <w:bottom w:val="nil"/>
              <w:right w:val="nil"/>
            </w:tcBorders>
          </w:tcPr>
          <w:p>
            <w:pPr>
              <w:pStyle w:val="0"/>
            </w:pPr>
            <w:r>
              <w:rPr>
                <w:sz w:val="20"/>
              </w:rPr>
              <w:t xml:space="preserve">1. Наименование государственной услуги</w:t>
            </w:r>
          </w:p>
        </w:tc>
        <w:tc>
          <w:tcPr>
            <w:tcW w:w="3628" w:type="dxa"/>
            <w:tcBorders>
              <w:top w:val="nil"/>
              <w:left w:val="nil"/>
              <w:bottom w:val="single" w:sz="4"/>
              <w:right w:val="nil"/>
            </w:tcBorders>
          </w:tcPr>
          <w:p>
            <w:pPr>
              <w:pStyle w:val="0"/>
            </w:pPr>
            <w:r>
              <w:rPr>
                <w:sz w:val="20"/>
              </w:rPr>
            </w:r>
          </w:p>
        </w:tc>
        <w:tc>
          <w:tcPr>
            <w:tcW w:w="2211" w:type="dxa"/>
            <w:tcBorders>
              <w:top w:val="nil"/>
              <w:left w:val="nil"/>
              <w:bottom w:val="nil"/>
              <w:right w:val="single" w:sz="4"/>
            </w:tcBorders>
          </w:tcPr>
          <w:p>
            <w:pPr>
              <w:pStyle w:val="0"/>
              <w:jc w:val="right"/>
            </w:pPr>
            <w:r>
              <w:rPr>
                <w:sz w:val="20"/>
              </w:rPr>
              <w:t xml:space="preserve">Код по общероссийскому базовому перечню или федеральному перечню</w:t>
            </w:r>
          </w:p>
        </w:tc>
        <w:tc>
          <w:tcPr>
            <w:tcW w:w="1361" w:type="dxa"/>
            <w:tcBorders>
              <w:top w:val="single" w:sz="4"/>
              <w:left w:val="single" w:sz="4"/>
              <w:bottom w:val="single" w:sz="4"/>
              <w:right w:val="single" w:sz="4"/>
            </w:tcBorders>
          </w:tcPr>
          <w:p>
            <w:pPr>
              <w:pStyle w:val="0"/>
            </w:pPr>
            <w:r>
              <w:rPr>
                <w:sz w:val="20"/>
              </w:rPr>
            </w:r>
          </w:p>
        </w:tc>
      </w:tr>
      <w:tr>
        <w:tc>
          <w:tcPr>
            <w:tcW w:w="1871" w:type="dxa"/>
            <w:tcBorders>
              <w:top w:val="nil"/>
              <w:left w:val="nil"/>
              <w:bottom w:val="nil"/>
              <w:right w:val="nil"/>
            </w:tcBorders>
            <w:vMerge w:val="restart"/>
          </w:tcPr>
          <w:p>
            <w:pPr>
              <w:pStyle w:val="0"/>
            </w:pPr>
            <w:r>
              <w:rPr>
                <w:sz w:val="20"/>
              </w:rPr>
              <w:t xml:space="preserve">2. Категории потребителей государственной услуги</w:t>
            </w:r>
          </w:p>
        </w:tc>
        <w:tc>
          <w:tcPr>
            <w:tcW w:w="3628" w:type="dxa"/>
            <w:tcBorders>
              <w:top w:val="single" w:sz="4"/>
              <w:left w:val="nil"/>
              <w:bottom w:val="single" w:sz="4"/>
              <w:right w:val="nil"/>
            </w:tcBorders>
          </w:tcPr>
          <w:p>
            <w:pPr>
              <w:pStyle w:val="0"/>
            </w:pPr>
            <w:r>
              <w:rPr>
                <w:sz w:val="20"/>
              </w:rPr>
            </w:r>
          </w:p>
        </w:tc>
        <w:tc>
          <w:tcPr>
            <w:tcW w:w="2211" w:type="dxa"/>
            <w:tcBorders>
              <w:top w:val="nil"/>
              <w:left w:val="nil"/>
              <w:bottom w:val="nil"/>
              <w:right w:val="nil"/>
            </w:tcBorders>
          </w:tcPr>
          <w:p>
            <w:pPr>
              <w:pStyle w:val="0"/>
            </w:pPr>
            <w:r>
              <w:rPr>
                <w:sz w:val="20"/>
              </w:rPr>
            </w:r>
          </w:p>
        </w:tc>
        <w:tc>
          <w:tcPr>
            <w:tcW w:w="1361" w:type="dxa"/>
            <w:tcBorders>
              <w:top w:val="single" w:sz="4"/>
              <w:left w:val="nil"/>
              <w:bottom w:val="nil"/>
              <w:right w:val="nil"/>
            </w:tcBorders>
          </w:tcPr>
          <w:p>
            <w:pPr>
              <w:pStyle w:val="0"/>
            </w:pPr>
            <w:r>
              <w:rPr>
                <w:sz w:val="20"/>
              </w:rPr>
            </w:r>
          </w:p>
        </w:tc>
      </w:tr>
      <w:tr>
        <w:tc>
          <w:tcPr>
            <w:tcBorders>
              <w:top w:val="nil"/>
              <w:left w:val="nil"/>
              <w:bottom w:val="nil"/>
              <w:right w:val="nil"/>
            </w:tcBorders>
            <w:vMerge w:val="continue"/>
          </w:tcPr>
          <w:p/>
        </w:tc>
        <w:tc>
          <w:tcPr>
            <w:tcW w:w="3628" w:type="dxa"/>
            <w:tcBorders>
              <w:top w:val="single" w:sz="4"/>
              <w:left w:val="nil"/>
              <w:bottom w:val="single" w:sz="4"/>
              <w:right w:val="nil"/>
            </w:tcBorders>
          </w:tcPr>
          <w:p>
            <w:pPr>
              <w:pStyle w:val="0"/>
            </w:pPr>
            <w:r>
              <w:rPr>
                <w:sz w:val="20"/>
              </w:rPr>
            </w:r>
          </w:p>
        </w:tc>
        <w:tc>
          <w:tcPr>
            <w:tcW w:w="2211"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Показатели,  характеризующие  объем  и  (или)  качество  государственной</w:t>
      </w:r>
    </w:p>
    <w:p>
      <w:pPr>
        <w:pStyle w:val="1"/>
        <w:jc w:val="both"/>
      </w:pPr>
      <w:r>
        <w:rPr>
          <w:sz w:val="20"/>
        </w:rPr>
        <w:t xml:space="preserve">услуги</w:t>
      </w:r>
    </w:p>
    <w:p>
      <w:pPr>
        <w:pStyle w:val="1"/>
        <w:jc w:val="both"/>
      </w:pPr>
      <w:r>
        <w:rPr>
          <w:sz w:val="20"/>
        </w:rPr>
      </w:r>
    </w:p>
    <w:bookmarkStart w:id="346" w:name="P346"/>
    <w:bookmarkEnd w:id="346"/>
    <w:p>
      <w:pPr>
        <w:pStyle w:val="1"/>
        <w:jc w:val="both"/>
      </w:pPr>
      <w:r>
        <w:rPr>
          <w:sz w:val="20"/>
        </w:rPr>
        <w:t xml:space="preserve">3.1. Показатели, характеризующие качество государственной услуги </w:t>
      </w:r>
      <w:hyperlink w:history="0" w:anchor="P812" w:tooltip="&lt;4&gt; Заполняется в соответствии с показателями, характеризующими качество услуг (работ), установленными в общероссийском базовом перечне или федеральном перечне, и единицами их измерения.">
        <w:r>
          <w:rPr>
            <w:sz w:val="20"/>
            <w:color w:val="0000ff"/>
          </w:rPr>
          <w:t xml:space="preserve">&lt;4&gt;</w:t>
        </w:r>
      </w:hyperlink>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794"/>
        <w:gridCol w:w="850"/>
        <w:gridCol w:w="850"/>
        <w:gridCol w:w="850"/>
        <w:gridCol w:w="850"/>
        <w:gridCol w:w="850"/>
        <w:gridCol w:w="850"/>
        <w:gridCol w:w="850"/>
        <w:gridCol w:w="851"/>
        <w:gridCol w:w="1039"/>
        <w:gridCol w:w="1039"/>
        <w:gridCol w:w="1040"/>
        <w:gridCol w:w="680"/>
        <w:gridCol w:w="850"/>
      </w:tblGrid>
      <w:tr>
        <w:tc>
          <w:tcPr>
            <w:tcW w:w="794" w:type="dxa"/>
            <w:tcBorders>
              <w:left w:val="nil"/>
            </w:tcBorders>
            <w:vMerge w:val="restart"/>
          </w:tcPr>
          <w:p>
            <w:pPr>
              <w:pStyle w:val="0"/>
              <w:jc w:val="center"/>
            </w:pPr>
            <w:r>
              <w:rPr>
                <w:sz w:val="20"/>
              </w:rPr>
              <w:t xml:space="preserve">Уникальный номер реестровой записи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550" w:type="dxa"/>
          </w:tcPr>
          <w:p>
            <w:pPr>
              <w:pStyle w:val="0"/>
              <w:jc w:val="center"/>
            </w:pPr>
            <w:r>
              <w:rPr>
                <w:sz w:val="20"/>
              </w:rPr>
              <w:t xml:space="preserve">Показатель, характеризующий содержание государственной услуги</w:t>
            </w:r>
          </w:p>
        </w:tc>
        <w:tc>
          <w:tcPr>
            <w:gridSpan w:val="2"/>
            <w:tcW w:w="1700" w:type="dxa"/>
          </w:tcPr>
          <w:p>
            <w:pPr>
              <w:pStyle w:val="0"/>
              <w:jc w:val="center"/>
            </w:pPr>
            <w:r>
              <w:rPr>
                <w:sz w:val="20"/>
              </w:rPr>
              <w:t xml:space="preserve">Показатель, характеризующий условия (формы) оказания государственной услуги</w:t>
            </w:r>
          </w:p>
        </w:tc>
        <w:tc>
          <w:tcPr>
            <w:gridSpan w:val="3"/>
            <w:tcW w:w="2551" w:type="dxa"/>
          </w:tcPr>
          <w:p>
            <w:pPr>
              <w:pStyle w:val="0"/>
              <w:jc w:val="center"/>
            </w:pPr>
            <w:r>
              <w:rPr>
                <w:sz w:val="20"/>
              </w:rPr>
              <w:t xml:space="preserve">Показатель качества государственной услуги</w:t>
            </w:r>
          </w:p>
        </w:tc>
        <w:tc>
          <w:tcPr>
            <w:gridSpan w:val="3"/>
            <w:tcW w:w="3118" w:type="dxa"/>
          </w:tcPr>
          <w:p>
            <w:pPr>
              <w:pStyle w:val="0"/>
              <w:jc w:val="center"/>
            </w:pPr>
            <w:r>
              <w:rPr>
                <w:sz w:val="20"/>
              </w:rPr>
              <w:t xml:space="preserve">Значение показателя качества государственной услуги</w:t>
            </w:r>
          </w:p>
        </w:tc>
        <w:tc>
          <w:tcPr>
            <w:gridSpan w:val="2"/>
            <w:tcW w:w="1530" w:type="dxa"/>
            <w:tcBorders>
              <w:right w:val="nil"/>
            </w:tcBorders>
          </w:tcPr>
          <w:p>
            <w:pPr>
              <w:pStyle w:val="0"/>
              <w:jc w:val="center"/>
            </w:pPr>
            <w:r>
              <w:rPr>
                <w:sz w:val="20"/>
              </w:rPr>
              <w:t xml:space="preserve">Допустимые (возможные) отклонения от установленных показателей качества государственной услуги </w:t>
            </w:r>
            <w:hyperlink w:history="0" w:anchor="P816"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tc>
      </w:tr>
      <w:tr>
        <w:tc>
          <w:tcPr>
            <w:tcBorders>
              <w:left w:val="nil"/>
            </w:tcBorders>
            <w:vMerge w:val="continue"/>
          </w:tcPr>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701" w:type="dxa"/>
          </w:tcPr>
          <w:p>
            <w:pPr>
              <w:pStyle w:val="0"/>
              <w:jc w:val="center"/>
            </w:pPr>
            <w:r>
              <w:rPr>
                <w:sz w:val="20"/>
              </w:rPr>
              <w:t xml:space="preserve">единица измерения</w:t>
            </w:r>
          </w:p>
        </w:tc>
        <w:tc>
          <w:tcPr>
            <w:tcW w:w="1039"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1039"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1040"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680" w:type="dxa"/>
            <w:vMerge w:val="restart"/>
          </w:tcPr>
          <w:p>
            <w:pPr>
              <w:pStyle w:val="0"/>
              <w:jc w:val="center"/>
            </w:pPr>
            <w:r>
              <w:rPr>
                <w:sz w:val="20"/>
              </w:rPr>
              <w:t xml:space="preserve">в процентах</w:t>
            </w:r>
          </w:p>
        </w:tc>
        <w:tc>
          <w:tcPr>
            <w:tcW w:w="850"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0"/>
              </w:rPr>
              <w:t xml:space="preserve">наименование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1" w:type="dxa"/>
          </w:tcPr>
          <w:p>
            <w:pPr>
              <w:pStyle w:val="0"/>
              <w:jc w:val="center"/>
            </w:pPr>
            <w:r>
              <w:rPr>
                <w:sz w:val="20"/>
              </w:rPr>
              <w:t xml:space="preserve">код по </w:t>
            </w:r>
            <w:hyperlink w:history="0" r:id="rId5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814" w:tooltip="&lt;6&gt; Заполняется в соответствии с кодом, указанным в общероссийском базовом перечне или федеральном перечне (при наличии).">
              <w:r>
                <w:rPr>
                  <w:sz w:val="20"/>
                  <w:color w:val="0000ff"/>
                </w:rPr>
                <w:t xml:space="preserve">&lt;6&gt;</w:t>
              </w:r>
            </w:hyperlink>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94" w:type="dxa"/>
            <w:tcBorders>
              <w:left w:val="nil"/>
            </w:tcBorders>
          </w:tcPr>
          <w:p>
            <w:pPr>
              <w:pStyle w:val="0"/>
              <w:jc w:val="center"/>
            </w:pPr>
            <w:r>
              <w:rPr>
                <w:sz w:val="20"/>
              </w:rPr>
              <w:t xml:space="preserve">1</w:t>
            </w:r>
          </w:p>
        </w:tc>
        <w:tc>
          <w:tcPr>
            <w:tcW w:w="850"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c>
          <w:tcPr>
            <w:tcW w:w="851" w:type="dxa"/>
          </w:tcPr>
          <w:p>
            <w:pPr>
              <w:pStyle w:val="0"/>
              <w:jc w:val="center"/>
            </w:pPr>
            <w:r>
              <w:rPr>
                <w:sz w:val="20"/>
              </w:rPr>
              <w:t xml:space="preserve">9</w:t>
            </w:r>
          </w:p>
        </w:tc>
        <w:tc>
          <w:tcPr>
            <w:tcW w:w="1039" w:type="dxa"/>
          </w:tcPr>
          <w:p>
            <w:pPr>
              <w:pStyle w:val="0"/>
              <w:jc w:val="center"/>
            </w:pPr>
            <w:r>
              <w:rPr>
                <w:sz w:val="20"/>
              </w:rPr>
              <w:t xml:space="preserve">10</w:t>
            </w:r>
          </w:p>
        </w:tc>
        <w:tc>
          <w:tcPr>
            <w:tcW w:w="1039" w:type="dxa"/>
          </w:tcPr>
          <w:p>
            <w:pPr>
              <w:pStyle w:val="0"/>
              <w:jc w:val="center"/>
            </w:pPr>
            <w:r>
              <w:rPr>
                <w:sz w:val="20"/>
              </w:rPr>
              <w:t xml:space="preserve">11</w:t>
            </w:r>
          </w:p>
        </w:tc>
        <w:tc>
          <w:tcPr>
            <w:tcW w:w="1040" w:type="dxa"/>
          </w:tcPr>
          <w:p>
            <w:pPr>
              <w:pStyle w:val="0"/>
              <w:jc w:val="center"/>
            </w:pPr>
            <w:r>
              <w:rPr>
                <w:sz w:val="20"/>
              </w:rPr>
              <w:t xml:space="preserve">12</w:t>
            </w:r>
          </w:p>
        </w:tc>
        <w:tc>
          <w:tcPr>
            <w:tcW w:w="680" w:type="dxa"/>
          </w:tcPr>
          <w:p>
            <w:pPr>
              <w:pStyle w:val="0"/>
              <w:jc w:val="center"/>
            </w:pPr>
            <w:r>
              <w:rPr>
                <w:sz w:val="20"/>
              </w:rPr>
              <w:t xml:space="preserve">13</w:t>
            </w:r>
          </w:p>
        </w:tc>
        <w:tc>
          <w:tcPr>
            <w:tcW w:w="850" w:type="dxa"/>
            <w:tcBorders>
              <w:right w:val="nil"/>
            </w:tcBorders>
          </w:tcPr>
          <w:p>
            <w:pPr>
              <w:pStyle w:val="0"/>
              <w:jc w:val="center"/>
            </w:pPr>
            <w:r>
              <w:rPr>
                <w:sz w:val="20"/>
              </w:rPr>
              <w:t xml:space="preserve">14</w:t>
            </w:r>
          </w:p>
        </w:tc>
      </w:tr>
      <w:tr>
        <w:tc>
          <w:tcPr>
            <w:tcW w:w="794" w:type="dxa"/>
            <w:tcBorders>
              <w:left w:val="nil"/>
            </w:tcBorders>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r>
        <w:tc>
          <w:tcPr>
            <w:tcW w:w="794" w:type="dxa"/>
            <w:tcBorders>
              <w:left w:val="nil"/>
            </w:tcBorders>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bl>
    <w:p>
      <w:pPr>
        <w:pStyle w:val="0"/>
        <w:jc w:val="both"/>
      </w:pPr>
      <w:r>
        <w:rPr>
          <w:sz w:val="20"/>
        </w:rPr>
      </w:r>
    </w:p>
    <w:bookmarkStart w:id="422" w:name="P422"/>
    <w:bookmarkEnd w:id="422"/>
    <w:p>
      <w:pPr>
        <w:pStyle w:val="1"/>
        <w:jc w:val="both"/>
      </w:pPr>
      <w:r>
        <w:rPr>
          <w:sz w:val="20"/>
        </w:rPr>
        <w:t xml:space="preserve">3.2. Показатели, характеризующие объем государственной услуги</w:t>
      </w:r>
    </w:p>
    <w:p>
      <w:pPr>
        <w:pStyle w:val="0"/>
        <w:jc w:val="both"/>
      </w:pPr>
      <w:r>
        <w:rPr>
          <w:sz w:val="20"/>
        </w:rPr>
      </w: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794"/>
        <w:gridCol w:w="850"/>
        <w:gridCol w:w="850"/>
        <w:gridCol w:w="850"/>
        <w:gridCol w:w="850"/>
        <w:gridCol w:w="850"/>
        <w:gridCol w:w="850"/>
        <w:gridCol w:w="850"/>
        <w:gridCol w:w="850"/>
        <w:gridCol w:w="1020"/>
        <w:gridCol w:w="1077"/>
        <w:gridCol w:w="1077"/>
        <w:gridCol w:w="978"/>
        <w:gridCol w:w="1020"/>
        <w:gridCol w:w="1020"/>
        <w:gridCol w:w="831"/>
        <w:gridCol w:w="832"/>
      </w:tblGrid>
      <w:tr>
        <w:tc>
          <w:tcPr>
            <w:tcW w:w="794" w:type="dxa"/>
            <w:tcBorders>
              <w:left w:val="nil"/>
            </w:tcBorders>
            <w:vMerge w:val="restart"/>
          </w:tcPr>
          <w:p>
            <w:pPr>
              <w:pStyle w:val="0"/>
              <w:jc w:val="center"/>
            </w:pPr>
            <w:r>
              <w:rPr>
                <w:sz w:val="20"/>
              </w:rPr>
              <w:t xml:space="preserve">Уникальный номер реестровой записи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550" w:type="dxa"/>
          </w:tcPr>
          <w:p>
            <w:pPr>
              <w:pStyle w:val="0"/>
              <w:jc w:val="center"/>
            </w:pPr>
            <w:r>
              <w:rPr>
                <w:sz w:val="20"/>
              </w:rPr>
              <w:t xml:space="preserve">Показатель, характеризующий содержание государственной услуги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700" w:type="dxa"/>
          </w:tcPr>
          <w:p>
            <w:pPr>
              <w:pStyle w:val="0"/>
              <w:jc w:val="center"/>
            </w:pPr>
            <w:r>
              <w:rPr>
                <w:sz w:val="20"/>
              </w:rPr>
              <w:t xml:space="preserve">Показатель, характеризующий условия (формы) оказания государственной услуги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550" w:type="dxa"/>
          </w:tcPr>
          <w:p>
            <w:pPr>
              <w:pStyle w:val="0"/>
              <w:jc w:val="center"/>
            </w:pPr>
            <w:r>
              <w:rPr>
                <w:sz w:val="20"/>
              </w:rPr>
              <w:t xml:space="preserve">Показатель объема государственной услуги</w:t>
            </w:r>
          </w:p>
        </w:tc>
        <w:tc>
          <w:tcPr>
            <w:gridSpan w:val="3"/>
            <w:tcW w:w="3174" w:type="dxa"/>
          </w:tcPr>
          <w:p>
            <w:pPr>
              <w:pStyle w:val="0"/>
              <w:jc w:val="center"/>
            </w:pPr>
            <w:r>
              <w:rPr>
                <w:sz w:val="20"/>
              </w:rPr>
              <w:t xml:space="preserve">Значение показателя объема государственной услуги</w:t>
            </w:r>
          </w:p>
        </w:tc>
        <w:tc>
          <w:tcPr>
            <w:gridSpan w:val="3"/>
            <w:tcW w:w="3018" w:type="dxa"/>
          </w:tcPr>
          <w:p>
            <w:pPr>
              <w:pStyle w:val="0"/>
              <w:jc w:val="center"/>
            </w:pPr>
            <w:r>
              <w:rPr>
                <w:sz w:val="20"/>
              </w:rPr>
              <w:t xml:space="preserve">Размер платы (цена, тариф) </w:t>
            </w:r>
            <w:hyperlink w:history="0" w:anchor="P817" w:tooltip="&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
              <w:r>
                <w:rPr>
                  <w:sz w:val="20"/>
                  <w:color w:val="0000ff"/>
                </w:rPr>
                <w:t xml:space="preserve">&lt;8&gt;</w:t>
              </w:r>
            </w:hyperlink>
          </w:p>
        </w:tc>
        <w:tc>
          <w:tcPr>
            <w:gridSpan w:val="2"/>
            <w:tcW w:w="1663" w:type="dxa"/>
            <w:tcBorders>
              <w:right w:val="nil"/>
            </w:tcBorders>
          </w:tcPr>
          <w:p>
            <w:pPr>
              <w:pStyle w:val="0"/>
              <w:jc w:val="center"/>
            </w:pPr>
            <w:r>
              <w:rPr>
                <w:sz w:val="20"/>
              </w:rPr>
              <w:t xml:space="preserve">Допустимые (возможные) отклонения от установленных показателей объема государственной услуги </w:t>
            </w:r>
            <w:hyperlink w:history="0" w:anchor="P816"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tc>
      </w:tr>
      <w:tr>
        <w:tc>
          <w:tcPr>
            <w:tcBorders>
              <w:left w:val="nil"/>
            </w:tcBorders>
            <w:vMerge w:val="continue"/>
          </w:tcPr>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700" w:type="dxa"/>
          </w:tcPr>
          <w:p>
            <w:pPr>
              <w:pStyle w:val="0"/>
              <w:jc w:val="center"/>
            </w:pPr>
            <w:r>
              <w:rPr>
                <w:sz w:val="20"/>
              </w:rPr>
              <w:t xml:space="preserve">единица измерения</w:t>
            </w:r>
          </w:p>
        </w:tc>
        <w:tc>
          <w:tcPr>
            <w:tcW w:w="1020" w:type="dxa"/>
            <w:vMerge w:val="restart"/>
          </w:tcPr>
          <w:p>
            <w:pPr>
              <w:pStyle w:val="0"/>
              <w:jc w:val="center"/>
            </w:pPr>
            <w:r>
              <w:rPr>
                <w:sz w:val="20"/>
              </w:rPr>
              <w:t xml:space="preserve">20__ год (очередной финансовый год)</w:t>
            </w:r>
          </w:p>
        </w:tc>
        <w:tc>
          <w:tcPr>
            <w:tcW w:w="1077" w:type="dxa"/>
            <w:vMerge w:val="restart"/>
          </w:tcPr>
          <w:p>
            <w:pPr>
              <w:pStyle w:val="0"/>
              <w:jc w:val="center"/>
            </w:pPr>
            <w:r>
              <w:rPr>
                <w:sz w:val="20"/>
              </w:rPr>
              <w:t xml:space="preserve">20__ год (1-й год планового периода)</w:t>
            </w:r>
          </w:p>
        </w:tc>
        <w:tc>
          <w:tcPr>
            <w:tcW w:w="1077" w:type="dxa"/>
            <w:vMerge w:val="restart"/>
          </w:tcPr>
          <w:p>
            <w:pPr>
              <w:pStyle w:val="0"/>
              <w:jc w:val="center"/>
            </w:pPr>
            <w:r>
              <w:rPr>
                <w:sz w:val="20"/>
              </w:rPr>
              <w:t xml:space="preserve">20__ год (2-й год планового периода)</w:t>
            </w:r>
          </w:p>
        </w:tc>
        <w:tc>
          <w:tcPr>
            <w:tcW w:w="978" w:type="dxa"/>
            <w:vMerge w:val="restart"/>
          </w:tcPr>
          <w:p>
            <w:pPr>
              <w:pStyle w:val="0"/>
              <w:jc w:val="center"/>
            </w:pPr>
            <w:r>
              <w:rPr>
                <w:sz w:val="20"/>
              </w:rPr>
              <w:t xml:space="preserve">20__ год (очередной финансовый год)</w:t>
            </w:r>
          </w:p>
        </w:tc>
        <w:tc>
          <w:tcPr>
            <w:tcW w:w="1020" w:type="dxa"/>
            <w:vMerge w:val="restart"/>
          </w:tcPr>
          <w:p>
            <w:pPr>
              <w:pStyle w:val="0"/>
              <w:jc w:val="center"/>
            </w:pPr>
            <w:r>
              <w:rPr>
                <w:sz w:val="20"/>
              </w:rPr>
              <w:t xml:space="preserve">20__ год (1-й год планового периода)</w:t>
            </w:r>
          </w:p>
        </w:tc>
        <w:tc>
          <w:tcPr>
            <w:tcW w:w="1020" w:type="dxa"/>
            <w:vMerge w:val="restart"/>
          </w:tcPr>
          <w:p>
            <w:pPr>
              <w:pStyle w:val="0"/>
              <w:jc w:val="center"/>
            </w:pPr>
            <w:r>
              <w:rPr>
                <w:sz w:val="20"/>
              </w:rPr>
              <w:t xml:space="preserve">20__ год (2-й год планового периода)</w:t>
            </w:r>
          </w:p>
        </w:tc>
        <w:tc>
          <w:tcPr>
            <w:tcW w:w="831" w:type="dxa"/>
            <w:vMerge w:val="restart"/>
          </w:tcPr>
          <w:p>
            <w:pPr>
              <w:pStyle w:val="0"/>
              <w:jc w:val="center"/>
            </w:pPr>
            <w:r>
              <w:rPr>
                <w:sz w:val="20"/>
              </w:rPr>
              <w:t xml:space="preserve">в процентах</w:t>
            </w:r>
          </w:p>
        </w:tc>
        <w:tc>
          <w:tcPr>
            <w:tcW w:w="832"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0"/>
              </w:rPr>
              <w:t xml:space="preserve">наименование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tcPr>
          <w:p>
            <w:pPr>
              <w:pStyle w:val="0"/>
              <w:jc w:val="center"/>
            </w:pPr>
            <w:r>
              <w:rPr>
                <w:sz w:val="20"/>
              </w:rPr>
              <w:t xml:space="preserve">код по </w:t>
            </w:r>
            <w:hyperlink w:history="0" r:id="rId5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814" w:tooltip="&lt;6&gt; Заполняется в соответствии с кодом, указанным в общероссийском базовом перечне или федеральном перечне (при наличии).">
              <w:r>
                <w:rPr>
                  <w:sz w:val="20"/>
                  <w:color w:val="0000ff"/>
                </w:rPr>
                <w:t xml:space="preserve">&lt;6&gt;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94" w:type="dxa"/>
            <w:tcBorders>
              <w:left w:val="nil"/>
            </w:tcBorders>
          </w:tcPr>
          <w:p>
            <w:pPr>
              <w:pStyle w:val="0"/>
              <w:jc w:val="center"/>
            </w:pPr>
            <w:r>
              <w:rPr>
                <w:sz w:val="20"/>
              </w:rPr>
              <w:t xml:space="preserve">1</w:t>
            </w:r>
          </w:p>
        </w:tc>
        <w:tc>
          <w:tcPr>
            <w:tcW w:w="850"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c>
          <w:tcPr>
            <w:tcW w:w="850" w:type="dxa"/>
          </w:tcPr>
          <w:p>
            <w:pPr>
              <w:pStyle w:val="0"/>
              <w:jc w:val="center"/>
            </w:pPr>
            <w:r>
              <w:rPr>
                <w:sz w:val="20"/>
              </w:rPr>
              <w:t xml:space="preserve">9</w:t>
            </w:r>
          </w:p>
        </w:tc>
        <w:tc>
          <w:tcPr>
            <w:tcW w:w="1020" w:type="dxa"/>
          </w:tcPr>
          <w:p>
            <w:pPr>
              <w:pStyle w:val="0"/>
              <w:jc w:val="center"/>
            </w:pPr>
            <w:r>
              <w:rPr>
                <w:sz w:val="20"/>
              </w:rPr>
              <w:t xml:space="preserve">10</w:t>
            </w:r>
          </w:p>
        </w:tc>
        <w:tc>
          <w:tcPr>
            <w:tcW w:w="1077" w:type="dxa"/>
          </w:tcPr>
          <w:p>
            <w:pPr>
              <w:pStyle w:val="0"/>
              <w:jc w:val="center"/>
            </w:pPr>
            <w:r>
              <w:rPr>
                <w:sz w:val="20"/>
              </w:rPr>
              <w:t xml:space="preserve">11</w:t>
            </w:r>
          </w:p>
        </w:tc>
        <w:tc>
          <w:tcPr>
            <w:tcW w:w="1077" w:type="dxa"/>
          </w:tcPr>
          <w:p>
            <w:pPr>
              <w:pStyle w:val="0"/>
              <w:jc w:val="center"/>
            </w:pPr>
            <w:r>
              <w:rPr>
                <w:sz w:val="20"/>
              </w:rPr>
              <w:t xml:space="preserve">12</w:t>
            </w:r>
          </w:p>
        </w:tc>
        <w:tc>
          <w:tcPr>
            <w:tcW w:w="978" w:type="dxa"/>
          </w:tcPr>
          <w:p>
            <w:pPr>
              <w:pStyle w:val="0"/>
              <w:jc w:val="center"/>
            </w:pPr>
            <w:r>
              <w:rPr>
                <w:sz w:val="20"/>
              </w:rPr>
              <w:t xml:space="preserve">13</w:t>
            </w:r>
          </w:p>
        </w:tc>
        <w:tc>
          <w:tcPr>
            <w:tcW w:w="1020" w:type="dxa"/>
          </w:tcPr>
          <w:p>
            <w:pPr>
              <w:pStyle w:val="0"/>
              <w:jc w:val="center"/>
            </w:pPr>
            <w:r>
              <w:rPr>
                <w:sz w:val="20"/>
              </w:rPr>
              <w:t xml:space="preserve">14</w:t>
            </w:r>
          </w:p>
        </w:tc>
        <w:tc>
          <w:tcPr>
            <w:tcW w:w="1020" w:type="dxa"/>
          </w:tcPr>
          <w:p>
            <w:pPr>
              <w:pStyle w:val="0"/>
              <w:jc w:val="center"/>
            </w:pPr>
            <w:r>
              <w:rPr>
                <w:sz w:val="20"/>
              </w:rPr>
              <w:t xml:space="preserve">15</w:t>
            </w:r>
          </w:p>
        </w:tc>
        <w:tc>
          <w:tcPr>
            <w:tcW w:w="831" w:type="dxa"/>
          </w:tcPr>
          <w:p>
            <w:pPr>
              <w:pStyle w:val="0"/>
              <w:jc w:val="center"/>
            </w:pPr>
            <w:r>
              <w:rPr>
                <w:sz w:val="20"/>
              </w:rPr>
              <w:t xml:space="preserve">16</w:t>
            </w:r>
          </w:p>
        </w:tc>
        <w:tc>
          <w:tcPr>
            <w:tcW w:w="832" w:type="dxa"/>
            <w:tcBorders>
              <w:right w:val="nil"/>
            </w:tcBorders>
          </w:tcPr>
          <w:p>
            <w:pPr>
              <w:pStyle w:val="0"/>
              <w:jc w:val="center"/>
            </w:pPr>
            <w:r>
              <w:rPr>
                <w:sz w:val="20"/>
              </w:rPr>
              <w:t xml:space="preserve">17</w:t>
            </w:r>
          </w:p>
        </w:tc>
      </w:tr>
      <w:tr>
        <w:tc>
          <w:tcPr>
            <w:tcW w:w="794" w:type="dxa"/>
            <w:tcBorders>
              <w:left w:val="nil"/>
            </w:tcBorders>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78"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78"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W w:w="794" w:type="dxa"/>
            <w:tcBorders>
              <w:left w:val="nil"/>
            </w:tcBorders>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78"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bl>
    <w:p>
      <w:pPr>
        <w:sectPr>
          <w:headerReference w:type="default" r:id="rId56"/>
          <w:headerReference w:type="first" r:id="rId56"/>
          <w:footerReference w:type="default" r:id="rId57"/>
          <w:footerReference w:type="first" r:id="rId57"/>
          <w:pgSz w:w="16838" w:h="11906" w:orient="landscape"/>
          <w:pgMar w:top="1133" w:right="397" w:bottom="566" w:left="397" w:header="0" w:footer="0" w:gutter="0"/>
          <w:titlePg/>
        </w:sectPr>
      </w:pPr>
    </w:p>
    <w:p>
      <w:pPr>
        <w:pStyle w:val="0"/>
        <w:jc w:val="both"/>
      </w:pPr>
      <w:r>
        <w:rPr>
          <w:sz w:val="20"/>
        </w:rPr>
      </w:r>
    </w:p>
    <w:p>
      <w:pPr>
        <w:pStyle w:val="1"/>
        <w:jc w:val="both"/>
      </w:pPr>
      <w:r>
        <w:rPr>
          <w:sz w:val="20"/>
        </w:rPr>
        <w:t xml:space="preserve">4.  Нормативные  правовые  акты, устанавливающие размер платы (цену, тариф)</w:t>
      </w:r>
    </w:p>
    <w:p>
      <w:pPr>
        <w:pStyle w:val="1"/>
        <w:jc w:val="both"/>
      </w:pPr>
      <w:r>
        <w:rPr>
          <w:sz w:val="20"/>
        </w:rPr>
        <w:t xml:space="preserve">либо порядок ее установления</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814"/>
        <w:gridCol w:w="1814"/>
        <w:gridCol w:w="1814"/>
        <w:gridCol w:w="1814"/>
        <w:gridCol w:w="1814"/>
      </w:tblGrid>
      <w:tr>
        <w:tc>
          <w:tcPr>
            <w:gridSpan w:val="5"/>
            <w:tcW w:w="9070" w:type="dxa"/>
            <w:tcBorders>
              <w:left w:val="nil"/>
              <w:right w:val="nil"/>
            </w:tcBorders>
          </w:tcPr>
          <w:p>
            <w:pPr>
              <w:pStyle w:val="0"/>
              <w:jc w:val="center"/>
            </w:pPr>
            <w:r>
              <w:rPr>
                <w:sz w:val="20"/>
              </w:rPr>
              <w:t xml:space="preserve">Нормативный правовой акт</w:t>
            </w:r>
          </w:p>
        </w:tc>
      </w:tr>
      <w:tr>
        <w:tc>
          <w:tcPr>
            <w:tcW w:w="1814" w:type="dxa"/>
            <w:tcBorders>
              <w:left w:val="nil"/>
            </w:tcBorders>
          </w:tcPr>
          <w:p>
            <w:pPr>
              <w:pStyle w:val="0"/>
              <w:jc w:val="center"/>
            </w:pPr>
            <w:r>
              <w:rPr>
                <w:sz w:val="20"/>
              </w:rPr>
              <w:t xml:space="preserve">вид</w:t>
            </w:r>
          </w:p>
        </w:tc>
        <w:tc>
          <w:tcPr>
            <w:tcW w:w="1814" w:type="dxa"/>
          </w:tcPr>
          <w:p>
            <w:pPr>
              <w:pStyle w:val="0"/>
              <w:jc w:val="center"/>
            </w:pPr>
            <w:r>
              <w:rPr>
                <w:sz w:val="20"/>
              </w:rPr>
              <w:t xml:space="preserve">принявший орган</w:t>
            </w:r>
          </w:p>
        </w:tc>
        <w:tc>
          <w:tcPr>
            <w:tcW w:w="1814" w:type="dxa"/>
          </w:tcPr>
          <w:p>
            <w:pPr>
              <w:pStyle w:val="0"/>
              <w:jc w:val="center"/>
            </w:pPr>
            <w:r>
              <w:rPr>
                <w:sz w:val="20"/>
              </w:rPr>
              <w:t xml:space="preserve">дата</w:t>
            </w:r>
          </w:p>
        </w:tc>
        <w:tc>
          <w:tcPr>
            <w:tcW w:w="1814" w:type="dxa"/>
          </w:tcPr>
          <w:p>
            <w:pPr>
              <w:pStyle w:val="0"/>
              <w:jc w:val="center"/>
            </w:pPr>
            <w:r>
              <w:rPr>
                <w:sz w:val="20"/>
              </w:rPr>
              <w:t xml:space="preserve">номер</w:t>
            </w:r>
          </w:p>
        </w:tc>
        <w:tc>
          <w:tcPr>
            <w:tcW w:w="1814" w:type="dxa"/>
            <w:tcBorders>
              <w:right w:val="nil"/>
            </w:tcBorders>
          </w:tcPr>
          <w:p>
            <w:pPr>
              <w:pStyle w:val="0"/>
              <w:jc w:val="center"/>
            </w:pPr>
            <w:r>
              <w:rPr>
                <w:sz w:val="20"/>
              </w:rPr>
              <w:t xml:space="preserve">наименование</w:t>
            </w:r>
          </w:p>
        </w:tc>
      </w:tr>
      <w:tr>
        <w:tc>
          <w:tcPr>
            <w:tcW w:w="1814" w:type="dxa"/>
            <w:tcBorders>
              <w:left w:val="nil"/>
            </w:tcBorders>
          </w:tcPr>
          <w:p>
            <w:pPr>
              <w:pStyle w:val="0"/>
              <w:jc w:val="center"/>
            </w:pPr>
            <w:r>
              <w:rPr>
                <w:sz w:val="20"/>
              </w:rPr>
              <w:t xml:space="preserve">1</w:t>
            </w:r>
          </w:p>
        </w:tc>
        <w:tc>
          <w:tcPr>
            <w:tcW w:w="1814" w:type="dxa"/>
          </w:tcPr>
          <w:p>
            <w:pPr>
              <w:pStyle w:val="0"/>
              <w:jc w:val="center"/>
            </w:pPr>
            <w:r>
              <w:rPr>
                <w:sz w:val="20"/>
              </w:rPr>
              <w:t xml:space="preserve">2</w:t>
            </w:r>
          </w:p>
        </w:tc>
        <w:tc>
          <w:tcPr>
            <w:tcW w:w="1814" w:type="dxa"/>
          </w:tcPr>
          <w:p>
            <w:pPr>
              <w:pStyle w:val="0"/>
              <w:jc w:val="center"/>
            </w:pPr>
            <w:r>
              <w:rPr>
                <w:sz w:val="20"/>
              </w:rPr>
              <w:t xml:space="preserve">3</w:t>
            </w:r>
          </w:p>
        </w:tc>
        <w:tc>
          <w:tcPr>
            <w:tcW w:w="1814" w:type="dxa"/>
          </w:tcPr>
          <w:p>
            <w:pPr>
              <w:pStyle w:val="0"/>
              <w:jc w:val="center"/>
            </w:pPr>
            <w:r>
              <w:rPr>
                <w:sz w:val="20"/>
              </w:rPr>
              <w:t xml:space="preserve">4</w:t>
            </w:r>
          </w:p>
        </w:tc>
        <w:tc>
          <w:tcPr>
            <w:tcW w:w="1814" w:type="dxa"/>
            <w:tcBorders>
              <w:right w:val="nil"/>
            </w:tcBorders>
          </w:tcPr>
          <w:p>
            <w:pPr>
              <w:pStyle w:val="0"/>
              <w:jc w:val="center"/>
            </w:pPr>
            <w:r>
              <w:rPr>
                <w:sz w:val="20"/>
              </w:rPr>
              <w:t xml:space="preserve">5</w:t>
            </w:r>
          </w:p>
        </w:tc>
      </w:tr>
      <w:tr>
        <w:tc>
          <w:tcPr>
            <w:tcW w:w="1814" w:type="dxa"/>
            <w:tcBorders>
              <w:left w:val="nil"/>
            </w:tcBorders>
          </w:tcPr>
          <w:p>
            <w:pPr>
              <w:pStyle w:val="0"/>
            </w:pPr>
            <w:r>
              <w:rPr>
                <w:sz w:val="20"/>
              </w:rPr>
            </w:r>
          </w:p>
        </w:tc>
        <w:tc>
          <w:tcPr>
            <w:tcW w:w="1814" w:type="dxa"/>
          </w:tcPr>
          <w:p>
            <w:pPr>
              <w:pStyle w:val="0"/>
            </w:pPr>
            <w:r>
              <w:rPr>
                <w:sz w:val="20"/>
              </w:rPr>
            </w:r>
          </w:p>
        </w:tc>
        <w:tc>
          <w:tcPr>
            <w:tcW w:w="1814" w:type="dxa"/>
          </w:tcPr>
          <w:p>
            <w:pPr>
              <w:pStyle w:val="0"/>
            </w:pPr>
            <w:r>
              <w:rPr>
                <w:sz w:val="20"/>
              </w:rPr>
            </w:r>
          </w:p>
        </w:tc>
        <w:tc>
          <w:tcPr>
            <w:tcW w:w="1814" w:type="dxa"/>
          </w:tcPr>
          <w:p>
            <w:pPr>
              <w:pStyle w:val="0"/>
            </w:pPr>
            <w:r>
              <w:rPr>
                <w:sz w:val="20"/>
              </w:rPr>
            </w:r>
          </w:p>
        </w:tc>
        <w:tc>
          <w:tcPr>
            <w:tcW w:w="1814" w:type="dxa"/>
            <w:tcBorders>
              <w:right w:val="nil"/>
            </w:tcBorders>
          </w:tcPr>
          <w:p>
            <w:pPr>
              <w:pStyle w:val="0"/>
            </w:pPr>
            <w:r>
              <w:rPr>
                <w:sz w:val="20"/>
              </w:rPr>
            </w:r>
          </w:p>
        </w:tc>
      </w:tr>
    </w:tbl>
    <w:p>
      <w:pPr>
        <w:pStyle w:val="0"/>
        <w:jc w:val="both"/>
      </w:pPr>
      <w:r>
        <w:rPr>
          <w:sz w:val="20"/>
        </w:rPr>
      </w:r>
    </w:p>
    <w:p>
      <w:pPr>
        <w:pStyle w:val="1"/>
        <w:jc w:val="both"/>
      </w:pPr>
      <w:r>
        <w:rPr>
          <w:sz w:val="20"/>
        </w:rPr>
        <w:t xml:space="preserve">5. Порядок оказания государственной услуги</w:t>
      </w:r>
    </w:p>
    <w:p>
      <w:pPr>
        <w:pStyle w:val="1"/>
        <w:jc w:val="both"/>
      </w:pPr>
      <w:r>
        <w:rPr>
          <w:sz w:val="20"/>
        </w:rPr>
      </w:r>
    </w:p>
    <w:p>
      <w:pPr>
        <w:pStyle w:val="1"/>
        <w:jc w:val="both"/>
      </w:pPr>
      <w:r>
        <w:rPr>
          <w:sz w:val="20"/>
        </w:rPr>
        <w:t xml:space="preserve">5.1. Нормативные правовые акты, регулирующие</w:t>
      </w:r>
    </w:p>
    <w:p>
      <w:pPr>
        <w:pStyle w:val="1"/>
        <w:jc w:val="both"/>
      </w:pPr>
      <w:r>
        <w:rPr>
          <w:sz w:val="20"/>
        </w:rPr>
        <w:t xml:space="preserve">порядок оказания государственной услуги      ______________________________</w:t>
      </w:r>
    </w:p>
    <w:p>
      <w:pPr>
        <w:pStyle w:val="1"/>
        <w:jc w:val="both"/>
      </w:pPr>
      <w:r>
        <w:rPr>
          <w:sz w:val="20"/>
        </w:rPr>
        <w:t xml:space="preserve">                                              (наименование, номер и дата</w:t>
      </w:r>
    </w:p>
    <w:p>
      <w:pPr>
        <w:pStyle w:val="1"/>
        <w:jc w:val="both"/>
      </w:pPr>
      <w:r>
        <w:rPr>
          <w:sz w:val="20"/>
        </w:rPr>
        <w:t xml:space="preserve">                                              нормативного правового акта)</w:t>
      </w:r>
    </w:p>
    <w:p>
      <w:pPr>
        <w:pStyle w:val="1"/>
        <w:jc w:val="both"/>
      </w:pPr>
      <w:r>
        <w:rPr>
          <w:sz w:val="20"/>
        </w:rPr>
      </w:r>
    </w:p>
    <w:p>
      <w:pPr>
        <w:pStyle w:val="1"/>
        <w:jc w:val="both"/>
      </w:pPr>
      <w:r>
        <w:rPr>
          <w:sz w:val="20"/>
        </w:rPr>
        <w:t xml:space="preserve">5.2. Порядок  информирования   потенциальных  потребителей  государственной</w:t>
      </w:r>
    </w:p>
    <w:p>
      <w:pPr>
        <w:pStyle w:val="1"/>
        <w:jc w:val="both"/>
      </w:pPr>
      <w:r>
        <w:rPr>
          <w:sz w:val="20"/>
        </w:rPr>
        <w:t xml:space="preserve">услуги</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004"/>
        <w:gridCol w:w="3004"/>
        <w:gridCol w:w="3061"/>
      </w:tblGrid>
      <w:tr>
        <w:tc>
          <w:tcPr>
            <w:tcW w:w="3004" w:type="dxa"/>
            <w:tcBorders>
              <w:left w:val="nil"/>
            </w:tcBorders>
          </w:tcPr>
          <w:p>
            <w:pPr>
              <w:pStyle w:val="0"/>
              <w:jc w:val="center"/>
            </w:pPr>
            <w:r>
              <w:rPr>
                <w:sz w:val="20"/>
              </w:rPr>
              <w:t xml:space="preserve">Способ информирования</w:t>
            </w:r>
          </w:p>
        </w:tc>
        <w:tc>
          <w:tcPr>
            <w:tcW w:w="3004" w:type="dxa"/>
          </w:tcPr>
          <w:p>
            <w:pPr>
              <w:pStyle w:val="0"/>
              <w:jc w:val="center"/>
            </w:pPr>
            <w:r>
              <w:rPr>
                <w:sz w:val="20"/>
              </w:rPr>
              <w:t xml:space="preserve">Состав размещаемой информации</w:t>
            </w:r>
          </w:p>
        </w:tc>
        <w:tc>
          <w:tcPr>
            <w:tcW w:w="3061" w:type="dxa"/>
            <w:tcBorders>
              <w:right w:val="nil"/>
            </w:tcBorders>
          </w:tcPr>
          <w:p>
            <w:pPr>
              <w:pStyle w:val="0"/>
              <w:jc w:val="center"/>
            </w:pPr>
            <w:r>
              <w:rPr>
                <w:sz w:val="20"/>
              </w:rPr>
              <w:t xml:space="preserve">Частота обновления информации</w:t>
            </w:r>
          </w:p>
        </w:tc>
      </w:tr>
      <w:tr>
        <w:tc>
          <w:tcPr>
            <w:tcW w:w="3004" w:type="dxa"/>
            <w:tcBorders>
              <w:left w:val="nil"/>
            </w:tcBorders>
          </w:tcPr>
          <w:p>
            <w:pPr>
              <w:pStyle w:val="0"/>
              <w:jc w:val="center"/>
            </w:pPr>
            <w:r>
              <w:rPr>
                <w:sz w:val="20"/>
              </w:rPr>
              <w:t xml:space="preserve">1</w:t>
            </w:r>
          </w:p>
        </w:tc>
        <w:tc>
          <w:tcPr>
            <w:tcW w:w="3004" w:type="dxa"/>
          </w:tcPr>
          <w:p>
            <w:pPr>
              <w:pStyle w:val="0"/>
              <w:jc w:val="center"/>
            </w:pPr>
            <w:r>
              <w:rPr>
                <w:sz w:val="20"/>
              </w:rPr>
              <w:t xml:space="preserve">2</w:t>
            </w:r>
          </w:p>
        </w:tc>
        <w:tc>
          <w:tcPr>
            <w:tcW w:w="3061" w:type="dxa"/>
            <w:tcBorders>
              <w:right w:val="nil"/>
            </w:tcBorders>
          </w:tcPr>
          <w:p>
            <w:pPr>
              <w:pStyle w:val="0"/>
              <w:jc w:val="center"/>
            </w:pPr>
            <w:r>
              <w:rPr>
                <w:sz w:val="20"/>
              </w:rPr>
              <w:t xml:space="preserve">3</w:t>
            </w:r>
          </w:p>
        </w:tc>
      </w:tr>
      <w:tr>
        <w:tc>
          <w:tcPr>
            <w:tcW w:w="3004" w:type="dxa"/>
            <w:tcBorders>
              <w:left w:val="nil"/>
            </w:tcBorders>
          </w:tcPr>
          <w:p>
            <w:pPr>
              <w:pStyle w:val="0"/>
            </w:pPr>
            <w:r>
              <w:rPr>
                <w:sz w:val="20"/>
              </w:rPr>
            </w:r>
          </w:p>
        </w:tc>
        <w:tc>
          <w:tcPr>
            <w:tcW w:w="3004" w:type="dxa"/>
          </w:tcPr>
          <w:p>
            <w:pPr>
              <w:pStyle w:val="0"/>
            </w:pPr>
            <w:r>
              <w:rPr>
                <w:sz w:val="20"/>
              </w:rPr>
            </w:r>
          </w:p>
        </w:tc>
        <w:tc>
          <w:tcPr>
            <w:tcW w:w="3061" w:type="dxa"/>
            <w:tcBorders>
              <w:right w:val="nil"/>
            </w:tcBorders>
          </w:tcPr>
          <w:p>
            <w:pPr>
              <w:pStyle w:val="0"/>
            </w:pPr>
            <w:r>
              <w:rPr>
                <w:sz w:val="20"/>
              </w:rPr>
            </w:r>
          </w:p>
        </w:tc>
      </w:tr>
    </w:tbl>
    <w:p>
      <w:pPr>
        <w:pStyle w:val="0"/>
        <w:jc w:val="both"/>
      </w:pPr>
      <w:r>
        <w:rPr>
          <w:sz w:val="20"/>
        </w:rPr>
      </w:r>
    </w:p>
    <w:bookmarkStart w:id="551" w:name="P551"/>
    <w:bookmarkEnd w:id="551"/>
    <w:p>
      <w:pPr>
        <w:pStyle w:val="1"/>
        <w:jc w:val="both"/>
      </w:pPr>
      <w:r>
        <w:rPr>
          <w:sz w:val="20"/>
        </w:rPr>
        <w:t xml:space="preserve">               Часть II. Сведения о выполняемых работах </w:t>
      </w:r>
      <w:hyperlink w:history="0" w:anchor="P811" w:tooltip="&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0"/>
            <w:color w:val="0000ff"/>
          </w:rPr>
          <w:t xml:space="preserve">&lt;3&gt;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3118"/>
        <w:gridCol w:w="709"/>
        <w:gridCol w:w="2665"/>
        <w:gridCol w:w="1587"/>
        <w:gridCol w:w="985"/>
      </w:tblGrid>
      <w:tr>
        <w:tblPrEx>
          <w:tblBorders>
            <w:right w:val="single" w:sz="4"/>
          </w:tblBorders>
        </w:tblPrEx>
        <w:tc>
          <w:tcPr>
            <w:tcW w:w="3118" w:type="dxa"/>
            <w:vAlign w:val="bottom"/>
            <w:tcBorders>
              <w:top w:val="nil"/>
              <w:left w:val="nil"/>
              <w:bottom w:val="nil"/>
              <w:right w:val="nil"/>
            </w:tcBorders>
          </w:tcPr>
          <w:p>
            <w:pPr>
              <w:pStyle w:val="0"/>
            </w:pPr>
            <w:r>
              <w:rPr>
                <w:sz w:val="20"/>
              </w:rPr>
              <w:t xml:space="preserve">1. Наименование работы</w:t>
            </w:r>
          </w:p>
        </w:tc>
        <w:tc>
          <w:tcPr>
            <w:gridSpan w:val="2"/>
            <w:tcW w:w="3374" w:type="dxa"/>
            <w:vAlign w:val="bottom"/>
            <w:tcBorders>
              <w:top w:val="nil"/>
              <w:left w:val="nil"/>
              <w:bottom w:val="single" w:sz="4"/>
              <w:right w:val="nil"/>
            </w:tcBorders>
          </w:tcPr>
          <w:p>
            <w:pPr>
              <w:pStyle w:val="0"/>
            </w:pPr>
            <w:r>
              <w:rPr>
                <w:sz w:val="20"/>
              </w:rPr>
            </w:r>
          </w:p>
        </w:tc>
        <w:tc>
          <w:tcPr>
            <w:tcW w:w="1587" w:type="dxa"/>
            <w:tcBorders>
              <w:top w:val="nil"/>
              <w:left w:val="nil"/>
              <w:bottom w:val="nil"/>
              <w:right w:val="nil"/>
            </w:tcBorders>
            <w:vMerge w:val="restart"/>
          </w:tcPr>
          <w:p>
            <w:pPr>
              <w:pStyle w:val="0"/>
              <w:jc w:val="right"/>
            </w:pPr>
            <w:r>
              <w:rPr>
                <w:sz w:val="20"/>
              </w:rPr>
              <w:t xml:space="preserve">Код по федеральному перечню</w:t>
            </w:r>
          </w:p>
        </w:tc>
        <w:tc>
          <w:tcPr>
            <w:tcW w:w="985" w:type="dxa"/>
            <w:vAlign w:val="bottom"/>
            <w:tcBorders>
              <w:top w:val="single" w:sz="4"/>
              <w:left w:val="single" w:sz="4"/>
              <w:bottom w:val="single" w:sz="4"/>
              <w:right w:val="single" w:sz="4"/>
            </w:tcBorders>
            <w:vMerge w:val="restart"/>
          </w:tcPr>
          <w:p>
            <w:pPr>
              <w:pStyle w:val="0"/>
            </w:pPr>
            <w:r>
              <w:rPr>
                <w:sz w:val="20"/>
              </w:rPr>
            </w:r>
          </w:p>
        </w:tc>
      </w:tr>
      <w:tr>
        <w:tblPrEx>
          <w:tblBorders>
            <w:right w:val="single" w:sz="4"/>
            <w:insideH w:val="single" w:sz="4"/>
          </w:tblBorders>
        </w:tblPrEx>
        <w:tc>
          <w:tcPr>
            <w:tcW w:w="3118" w:type="dxa"/>
            <w:vAlign w:val="bottom"/>
            <w:tcBorders>
              <w:top w:val="nil"/>
              <w:left w:val="nil"/>
              <w:bottom w:val="nil"/>
              <w:right w:val="nil"/>
            </w:tcBorders>
          </w:tcPr>
          <w:p>
            <w:pPr>
              <w:pStyle w:val="0"/>
            </w:pPr>
            <w:r>
              <w:rPr>
                <w:sz w:val="20"/>
              </w:rPr>
            </w:r>
          </w:p>
        </w:tc>
        <w:tc>
          <w:tcPr>
            <w:gridSpan w:val="2"/>
            <w:tcW w:w="3374" w:type="dxa"/>
            <w:vAlign w:val="bottom"/>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Borders>
              <w:top w:val="single" w:sz="4"/>
              <w:left w:val="single" w:sz="4"/>
              <w:bottom w:val="single" w:sz="4"/>
              <w:right w:val="single" w:sz="4"/>
            </w:tcBorders>
            <w:vMerge w:val="continue"/>
          </w:tcPr>
          <w:p/>
        </w:tc>
      </w:tr>
      <w:tr>
        <w:tc>
          <w:tcPr>
            <w:gridSpan w:val="2"/>
            <w:tcW w:w="3827" w:type="dxa"/>
            <w:vAlign w:val="center"/>
            <w:tcBorders>
              <w:top w:val="nil"/>
              <w:left w:val="nil"/>
              <w:bottom w:val="nil"/>
              <w:right w:val="nil"/>
            </w:tcBorders>
          </w:tcPr>
          <w:p>
            <w:pPr>
              <w:pStyle w:val="0"/>
            </w:pPr>
            <w:r>
              <w:rPr>
                <w:sz w:val="20"/>
              </w:rPr>
              <w:t xml:space="preserve">2. Категории потребителей работы</w:t>
            </w:r>
          </w:p>
        </w:tc>
        <w:tc>
          <w:tcPr>
            <w:tcW w:w="2665" w:type="dxa"/>
            <w:vAlign w:val="center"/>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W w:w="985" w:type="dxa"/>
            <w:vAlign w:val="center"/>
            <w:tcBorders>
              <w:top w:val="single" w:sz="4"/>
              <w:left w:val="nil"/>
              <w:bottom w:val="nil"/>
              <w:right w:val="nil"/>
            </w:tcBorders>
          </w:tcPr>
          <w:p>
            <w:pPr>
              <w:pStyle w:val="0"/>
            </w:pPr>
            <w:r>
              <w:rPr>
                <w:sz w:val="20"/>
              </w:rPr>
            </w:r>
          </w:p>
        </w:tc>
      </w:tr>
      <w:tr>
        <w:tc>
          <w:tcPr>
            <w:gridSpan w:val="2"/>
            <w:tcW w:w="3827" w:type="dxa"/>
            <w:vAlign w:val="center"/>
            <w:tcBorders>
              <w:top w:val="nil"/>
              <w:left w:val="nil"/>
              <w:bottom w:val="nil"/>
              <w:right w:val="nil"/>
            </w:tcBorders>
          </w:tcPr>
          <w:p>
            <w:pPr>
              <w:pStyle w:val="0"/>
            </w:pPr>
            <w:r>
              <w:rPr>
                <w:sz w:val="20"/>
              </w:rPr>
            </w:r>
          </w:p>
        </w:tc>
        <w:tc>
          <w:tcPr>
            <w:tcW w:w="2665" w:type="dxa"/>
            <w:vAlign w:val="center"/>
            <w:tcBorders>
              <w:top w:val="single" w:sz="4"/>
              <w:left w:val="nil"/>
              <w:bottom w:val="single" w:sz="4"/>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985" w:type="dxa"/>
            <w:vAlign w:val="center"/>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Показатели, характеризующие объем и (или) качество работы</w:t>
      </w:r>
    </w:p>
    <w:p>
      <w:pPr>
        <w:pStyle w:val="1"/>
        <w:jc w:val="both"/>
      </w:pPr>
      <w:r>
        <w:rPr>
          <w:sz w:val="20"/>
        </w:rPr>
      </w:r>
    </w:p>
    <w:p>
      <w:pPr>
        <w:pStyle w:val="1"/>
        <w:jc w:val="both"/>
      </w:pPr>
      <w:r>
        <w:rPr>
          <w:sz w:val="20"/>
        </w:rPr>
        <w:t xml:space="preserve">3.1. Показатели, характеризующие качество работы </w:t>
      </w:r>
      <w:hyperlink w:history="0" w:anchor="P812" w:tooltip="&lt;4&gt; Заполняется в соответствии с показателями, характеризующими качество услуг (работ), установленными в общероссийском базовом перечне или федеральном перечне, и единицами их измерения.">
        <w:r>
          <w:rPr>
            <w:sz w:val="20"/>
            <w:color w:val="0000ff"/>
          </w:rPr>
          <w:t xml:space="preserve">&lt;4&gt;</w:t>
        </w:r>
      </w:hyperlink>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794"/>
        <w:gridCol w:w="850"/>
        <w:gridCol w:w="850"/>
        <w:gridCol w:w="850"/>
        <w:gridCol w:w="850"/>
        <w:gridCol w:w="850"/>
        <w:gridCol w:w="850"/>
        <w:gridCol w:w="850"/>
        <w:gridCol w:w="851"/>
        <w:gridCol w:w="1039"/>
        <w:gridCol w:w="1039"/>
        <w:gridCol w:w="1040"/>
        <w:gridCol w:w="680"/>
        <w:gridCol w:w="850"/>
      </w:tblGrid>
      <w:tr>
        <w:tc>
          <w:tcPr>
            <w:tcW w:w="794" w:type="dxa"/>
            <w:tcBorders>
              <w:left w:val="nil"/>
            </w:tcBorders>
            <w:vMerge w:val="restart"/>
          </w:tcPr>
          <w:p>
            <w:pPr>
              <w:pStyle w:val="0"/>
              <w:jc w:val="center"/>
            </w:pPr>
            <w:r>
              <w:rPr>
                <w:sz w:val="20"/>
              </w:rPr>
              <w:t xml:space="preserve">Уникальный номер реестровой записи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550" w:type="dxa"/>
          </w:tcPr>
          <w:p>
            <w:pPr>
              <w:pStyle w:val="0"/>
              <w:jc w:val="center"/>
            </w:pPr>
            <w:r>
              <w:rPr>
                <w:sz w:val="20"/>
              </w:rPr>
              <w:t xml:space="preserve">Показатель, характеризующий содержание работы</w:t>
            </w:r>
          </w:p>
        </w:tc>
        <w:tc>
          <w:tcPr>
            <w:gridSpan w:val="2"/>
            <w:tcW w:w="1700" w:type="dxa"/>
          </w:tcPr>
          <w:p>
            <w:pPr>
              <w:pStyle w:val="0"/>
              <w:jc w:val="center"/>
            </w:pPr>
            <w:r>
              <w:rPr>
                <w:sz w:val="20"/>
              </w:rPr>
              <w:t xml:space="preserve">Показатель, характеризующий условия (формы) выполнения работы</w:t>
            </w:r>
          </w:p>
        </w:tc>
        <w:tc>
          <w:tcPr>
            <w:gridSpan w:val="3"/>
            <w:tcW w:w="2551" w:type="dxa"/>
          </w:tcPr>
          <w:p>
            <w:pPr>
              <w:pStyle w:val="0"/>
              <w:jc w:val="center"/>
            </w:pPr>
            <w:r>
              <w:rPr>
                <w:sz w:val="20"/>
              </w:rPr>
              <w:t xml:space="preserve">Показатель качества работы</w:t>
            </w:r>
          </w:p>
        </w:tc>
        <w:tc>
          <w:tcPr>
            <w:gridSpan w:val="3"/>
            <w:tcW w:w="3118" w:type="dxa"/>
          </w:tcPr>
          <w:p>
            <w:pPr>
              <w:pStyle w:val="0"/>
              <w:jc w:val="center"/>
            </w:pPr>
            <w:r>
              <w:rPr>
                <w:sz w:val="20"/>
              </w:rPr>
              <w:t xml:space="preserve">Значение показателя качества работы</w:t>
            </w:r>
          </w:p>
        </w:tc>
        <w:tc>
          <w:tcPr>
            <w:gridSpan w:val="2"/>
            <w:tcW w:w="1530" w:type="dxa"/>
            <w:tcBorders>
              <w:right w:val="nil"/>
            </w:tcBorders>
          </w:tcPr>
          <w:p>
            <w:pPr>
              <w:pStyle w:val="0"/>
              <w:jc w:val="center"/>
            </w:pPr>
            <w:r>
              <w:rPr>
                <w:sz w:val="20"/>
              </w:rPr>
              <w:t xml:space="preserve">Допустимые (возможные) отклонения от установленных показателей качества работы </w:t>
            </w:r>
            <w:hyperlink w:history="0" w:anchor="P816"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tc>
      </w:tr>
      <w:tr>
        <w:tc>
          <w:tcPr>
            <w:tcBorders>
              <w:left w:val="nil"/>
            </w:tcBorders>
            <w:vMerge w:val="continue"/>
          </w:tcPr>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701" w:type="dxa"/>
          </w:tcPr>
          <w:p>
            <w:pPr>
              <w:pStyle w:val="0"/>
              <w:jc w:val="center"/>
            </w:pPr>
            <w:r>
              <w:rPr>
                <w:sz w:val="20"/>
              </w:rPr>
              <w:t xml:space="preserve">единица измерения</w:t>
            </w:r>
          </w:p>
        </w:tc>
        <w:tc>
          <w:tcPr>
            <w:tcW w:w="1039"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1039"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1040"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680" w:type="dxa"/>
            <w:vMerge w:val="restart"/>
          </w:tcPr>
          <w:p>
            <w:pPr>
              <w:pStyle w:val="0"/>
              <w:jc w:val="center"/>
            </w:pPr>
            <w:r>
              <w:rPr>
                <w:sz w:val="20"/>
              </w:rPr>
              <w:t xml:space="preserve">в процентах</w:t>
            </w:r>
          </w:p>
        </w:tc>
        <w:tc>
          <w:tcPr>
            <w:tcW w:w="850"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0"/>
              </w:rPr>
              <w:t xml:space="preserve">наименование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1" w:type="dxa"/>
          </w:tcPr>
          <w:p>
            <w:pPr>
              <w:pStyle w:val="0"/>
              <w:jc w:val="center"/>
            </w:pPr>
            <w:r>
              <w:rPr>
                <w:sz w:val="20"/>
              </w:rPr>
              <w:t xml:space="preserve">код по </w:t>
            </w:r>
            <w:hyperlink w:history="0" r:id="rId60"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814" w:tooltip="&lt;6&gt; Заполняется в соответствии с кодом, указанным в общероссийском базовом перечне или федеральном перечне (при наличии).">
              <w:r>
                <w:rPr>
                  <w:sz w:val="20"/>
                  <w:color w:val="0000ff"/>
                </w:rPr>
                <w:t xml:space="preserve">&lt;6&gt;</w:t>
              </w:r>
            </w:hyperlink>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94" w:type="dxa"/>
            <w:tcBorders>
              <w:left w:val="nil"/>
            </w:tcBorders>
          </w:tcPr>
          <w:p>
            <w:pPr>
              <w:pStyle w:val="0"/>
              <w:jc w:val="center"/>
            </w:pPr>
            <w:r>
              <w:rPr>
                <w:sz w:val="20"/>
              </w:rPr>
              <w:t xml:space="preserve">1</w:t>
            </w:r>
          </w:p>
        </w:tc>
        <w:tc>
          <w:tcPr>
            <w:tcW w:w="850"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c>
          <w:tcPr>
            <w:tcW w:w="851" w:type="dxa"/>
          </w:tcPr>
          <w:p>
            <w:pPr>
              <w:pStyle w:val="0"/>
              <w:jc w:val="center"/>
            </w:pPr>
            <w:r>
              <w:rPr>
                <w:sz w:val="20"/>
              </w:rPr>
              <w:t xml:space="preserve">9</w:t>
            </w:r>
          </w:p>
        </w:tc>
        <w:tc>
          <w:tcPr>
            <w:tcW w:w="1039" w:type="dxa"/>
          </w:tcPr>
          <w:p>
            <w:pPr>
              <w:pStyle w:val="0"/>
              <w:jc w:val="center"/>
            </w:pPr>
            <w:r>
              <w:rPr>
                <w:sz w:val="20"/>
              </w:rPr>
              <w:t xml:space="preserve">10</w:t>
            </w:r>
          </w:p>
        </w:tc>
        <w:tc>
          <w:tcPr>
            <w:tcW w:w="1039" w:type="dxa"/>
          </w:tcPr>
          <w:p>
            <w:pPr>
              <w:pStyle w:val="0"/>
              <w:jc w:val="center"/>
            </w:pPr>
            <w:r>
              <w:rPr>
                <w:sz w:val="20"/>
              </w:rPr>
              <w:t xml:space="preserve">11</w:t>
            </w:r>
          </w:p>
        </w:tc>
        <w:tc>
          <w:tcPr>
            <w:tcW w:w="1040" w:type="dxa"/>
          </w:tcPr>
          <w:p>
            <w:pPr>
              <w:pStyle w:val="0"/>
              <w:jc w:val="center"/>
            </w:pPr>
            <w:r>
              <w:rPr>
                <w:sz w:val="20"/>
              </w:rPr>
              <w:t xml:space="preserve">12</w:t>
            </w:r>
          </w:p>
        </w:tc>
        <w:tc>
          <w:tcPr>
            <w:tcW w:w="680" w:type="dxa"/>
          </w:tcPr>
          <w:p>
            <w:pPr>
              <w:pStyle w:val="0"/>
              <w:jc w:val="center"/>
            </w:pPr>
            <w:r>
              <w:rPr>
                <w:sz w:val="20"/>
              </w:rPr>
              <w:t xml:space="preserve">13</w:t>
            </w:r>
          </w:p>
        </w:tc>
        <w:tc>
          <w:tcPr>
            <w:tcW w:w="850" w:type="dxa"/>
            <w:tcBorders>
              <w:right w:val="nil"/>
            </w:tcBorders>
          </w:tcPr>
          <w:p>
            <w:pPr>
              <w:pStyle w:val="0"/>
              <w:jc w:val="center"/>
            </w:pPr>
            <w:r>
              <w:rPr>
                <w:sz w:val="20"/>
              </w:rPr>
              <w:t xml:space="preserve">14</w:t>
            </w:r>
          </w:p>
        </w:tc>
      </w:tr>
      <w:tr>
        <w:tc>
          <w:tcPr>
            <w:tcW w:w="794" w:type="dxa"/>
            <w:tcBorders>
              <w:left w:val="nil"/>
            </w:tcBorders>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r>
        <w:tc>
          <w:tcPr>
            <w:tcW w:w="794" w:type="dxa"/>
            <w:tcBorders>
              <w:left w:val="nil"/>
            </w:tcBorders>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bl>
    <w:p>
      <w:pPr>
        <w:pStyle w:val="0"/>
        <w:jc w:val="both"/>
      </w:pPr>
      <w:r>
        <w:rPr>
          <w:sz w:val="20"/>
        </w:rPr>
      </w:r>
    </w:p>
    <w:p>
      <w:pPr>
        <w:pStyle w:val="1"/>
        <w:jc w:val="both"/>
      </w:pPr>
      <w:r>
        <w:rPr>
          <w:sz w:val="20"/>
        </w:rPr>
        <w:t xml:space="preserve">3.2. Показатели, характеризующие объем работы</w:t>
      </w:r>
    </w:p>
    <w:p>
      <w:pPr>
        <w:pStyle w:val="0"/>
        <w:ind w:firstLine="54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794"/>
        <w:gridCol w:w="720"/>
        <w:gridCol w:w="720"/>
        <w:gridCol w:w="720"/>
        <w:gridCol w:w="720"/>
        <w:gridCol w:w="720"/>
        <w:gridCol w:w="720"/>
        <w:gridCol w:w="720"/>
        <w:gridCol w:w="811"/>
        <w:gridCol w:w="631"/>
        <w:gridCol w:w="794"/>
        <w:gridCol w:w="851"/>
        <w:gridCol w:w="852"/>
        <w:gridCol w:w="737"/>
        <w:gridCol w:w="851"/>
        <w:gridCol w:w="852"/>
        <w:gridCol w:w="633"/>
        <w:gridCol w:w="741"/>
      </w:tblGrid>
      <w:tr>
        <w:tc>
          <w:tcPr>
            <w:tcW w:w="794" w:type="dxa"/>
            <w:tcBorders>
              <w:left w:val="nil"/>
            </w:tcBorders>
            <w:vMerge w:val="restart"/>
          </w:tcPr>
          <w:p>
            <w:pPr>
              <w:pStyle w:val="0"/>
              <w:jc w:val="center"/>
            </w:pPr>
            <w:r>
              <w:rPr>
                <w:sz w:val="20"/>
              </w:rPr>
              <w:t xml:space="preserve">Уникальный номер реестровой записи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160" w:type="dxa"/>
          </w:tcPr>
          <w:p>
            <w:pPr>
              <w:pStyle w:val="0"/>
              <w:jc w:val="center"/>
            </w:pPr>
            <w:r>
              <w:rPr>
                <w:sz w:val="20"/>
              </w:rPr>
              <w:t xml:space="preserve">Показатель, характеризующий содержание работы</w:t>
            </w:r>
          </w:p>
        </w:tc>
        <w:tc>
          <w:tcPr>
            <w:gridSpan w:val="2"/>
            <w:tcW w:w="1440" w:type="dxa"/>
          </w:tcPr>
          <w:p>
            <w:pPr>
              <w:pStyle w:val="0"/>
              <w:jc w:val="center"/>
            </w:pPr>
            <w:r>
              <w:rPr>
                <w:sz w:val="20"/>
              </w:rPr>
              <w:t xml:space="preserve">Показатель, характеризующий условия (формы) выполнения работы</w:t>
            </w:r>
          </w:p>
        </w:tc>
        <w:tc>
          <w:tcPr>
            <w:gridSpan w:val="4"/>
            <w:tcW w:w="2882" w:type="dxa"/>
          </w:tcPr>
          <w:p>
            <w:pPr>
              <w:pStyle w:val="0"/>
              <w:jc w:val="center"/>
            </w:pPr>
            <w:r>
              <w:rPr>
                <w:sz w:val="20"/>
              </w:rPr>
              <w:t xml:space="preserve">Показатель объема работы</w:t>
            </w:r>
          </w:p>
        </w:tc>
        <w:tc>
          <w:tcPr>
            <w:gridSpan w:val="3"/>
            <w:tcW w:w="2497" w:type="dxa"/>
          </w:tcPr>
          <w:p>
            <w:pPr>
              <w:pStyle w:val="0"/>
              <w:jc w:val="center"/>
            </w:pPr>
            <w:r>
              <w:rPr>
                <w:sz w:val="20"/>
              </w:rPr>
              <w:t xml:space="preserve">Значение показателя объема работы</w:t>
            </w:r>
          </w:p>
        </w:tc>
        <w:tc>
          <w:tcPr>
            <w:gridSpan w:val="3"/>
            <w:tcW w:w="2440" w:type="dxa"/>
          </w:tcPr>
          <w:p>
            <w:pPr>
              <w:pStyle w:val="0"/>
              <w:jc w:val="center"/>
            </w:pPr>
            <w:r>
              <w:rPr>
                <w:sz w:val="20"/>
              </w:rPr>
              <w:t xml:space="preserve">Размер платы (цена, тариф) </w:t>
            </w:r>
            <w:hyperlink w:history="0" w:anchor="P817" w:tooltip="&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
              <w:r>
                <w:rPr>
                  <w:sz w:val="20"/>
                  <w:color w:val="0000ff"/>
                </w:rPr>
                <w:t xml:space="preserve">&lt;8&gt;</w:t>
              </w:r>
            </w:hyperlink>
          </w:p>
        </w:tc>
        <w:tc>
          <w:tcPr>
            <w:gridSpan w:val="2"/>
            <w:tcW w:w="1374" w:type="dxa"/>
            <w:tcBorders>
              <w:right w:val="nil"/>
            </w:tcBorders>
          </w:tcPr>
          <w:p>
            <w:pPr>
              <w:pStyle w:val="0"/>
              <w:jc w:val="center"/>
            </w:pPr>
            <w:r>
              <w:rPr>
                <w:sz w:val="20"/>
              </w:rPr>
              <w:t xml:space="preserve">Допустимые (возможные) отклонения от установленных показателей объема работы </w:t>
            </w:r>
            <w:hyperlink w:history="0" w:anchor="P816"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tc>
      </w:tr>
      <w:tr>
        <w:tc>
          <w:tcPr>
            <w:tcBorders>
              <w:left w:val="nil"/>
            </w:tcBorders>
            <w:vMerge w:val="continue"/>
          </w:tcPr>
          <w:p/>
        </w:tc>
        <w:tc>
          <w:tcPr>
            <w:tcW w:w="72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531" w:type="dxa"/>
          </w:tcPr>
          <w:p>
            <w:pPr>
              <w:pStyle w:val="0"/>
              <w:jc w:val="center"/>
            </w:pPr>
            <w:r>
              <w:rPr>
                <w:sz w:val="20"/>
              </w:rPr>
              <w:t xml:space="preserve">единица измерения</w:t>
            </w:r>
          </w:p>
        </w:tc>
        <w:tc>
          <w:tcPr>
            <w:tcW w:w="631" w:type="dxa"/>
            <w:vMerge w:val="restart"/>
          </w:tcPr>
          <w:p>
            <w:pPr>
              <w:pStyle w:val="0"/>
              <w:jc w:val="center"/>
            </w:pPr>
            <w:r>
              <w:rPr>
                <w:sz w:val="20"/>
              </w:rPr>
              <w:t xml:space="preserve">описание работы </w:t>
            </w:r>
            <w:hyperlink w:history="0" w:anchor="P815" w:tooltip="&lt;6-1&gt; Для работ по проведению научных исследований (разработок) указываются наименование научной темы научного исследования (разработки) и плановый результат выполнения научной темы научного исследования (разработки), который включает в себя информацию об уровне (уровнях) готовности технологии и виде (видах) научного и (или) научно-технического результата.">
              <w:r>
                <w:rPr>
                  <w:sz w:val="20"/>
                  <w:color w:val="0000ff"/>
                </w:rPr>
                <w:t xml:space="preserve">&lt;6-1&gt;</w:t>
              </w:r>
            </w:hyperlink>
          </w:p>
        </w:tc>
        <w:tc>
          <w:tcPr>
            <w:tcW w:w="794"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851"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852"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737"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851"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852"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633" w:type="dxa"/>
            <w:vMerge w:val="restart"/>
          </w:tcPr>
          <w:p>
            <w:pPr>
              <w:pStyle w:val="0"/>
              <w:jc w:val="center"/>
            </w:pPr>
            <w:r>
              <w:rPr>
                <w:sz w:val="20"/>
              </w:rPr>
              <w:t xml:space="preserve">в процентах</w:t>
            </w:r>
          </w:p>
        </w:tc>
        <w:tc>
          <w:tcPr>
            <w:tcW w:w="741"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20" w:type="dxa"/>
          </w:tcPr>
          <w:p>
            <w:pPr>
              <w:pStyle w:val="0"/>
              <w:jc w:val="center"/>
            </w:pPr>
            <w:r>
              <w:rPr>
                <w:sz w:val="20"/>
              </w:rPr>
              <w:t xml:space="preserve">наименование </w:t>
            </w:r>
            <w:hyperlink w:history="0" w:anchor="P813"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11" w:type="dxa"/>
          </w:tcPr>
          <w:p>
            <w:pPr>
              <w:pStyle w:val="0"/>
              <w:jc w:val="center"/>
            </w:pPr>
            <w:r>
              <w:rPr>
                <w:sz w:val="20"/>
              </w:rPr>
              <w:t xml:space="preserve">код по </w:t>
            </w:r>
            <w:hyperlink w:history="0" r:id="rId6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814" w:tooltip="&lt;6&gt; Заполняется в соответствии с кодом, указанным в общероссийском базовом перечне или федеральном перечне (при наличии).">
              <w:r>
                <w:rPr>
                  <w:sz w:val="20"/>
                  <w:color w:val="0000ff"/>
                </w:rPr>
                <w:t xml:space="preserve">&lt;6&gt;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94" w:type="dxa"/>
            <w:tcBorders>
              <w:left w:val="nil"/>
            </w:tcBorders>
          </w:tcPr>
          <w:p>
            <w:pPr>
              <w:pStyle w:val="0"/>
              <w:jc w:val="center"/>
            </w:pPr>
            <w:r>
              <w:rPr>
                <w:sz w:val="20"/>
              </w:rPr>
              <w:t xml:space="preserve">1</w:t>
            </w:r>
          </w:p>
        </w:tc>
        <w:tc>
          <w:tcPr>
            <w:tcW w:w="720" w:type="dxa"/>
          </w:tcPr>
          <w:p>
            <w:pPr>
              <w:pStyle w:val="0"/>
              <w:jc w:val="center"/>
            </w:pPr>
            <w:r>
              <w:rPr>
                <w:sz w:val="20"/>
              </w:rPr>
              <w:t xml:space="preserve">2</w:t>
            </w:r>
          </w:p>
        </w:tc>
        <w:tc>
          <w:tcPr>
            <w:tcW w:w="720" w:type="dxa"/>
          </w:tcPr>
          <w:p>
            <w:pPr>
              <w:pStyle w:val="0"/>
              <w:jc w:val="center"/>
            </w:pPr>
            <w:r>
              <w:rPr>
                <w:sz w:val="20"/>
              </w:rPr>
              <w:t xml:space="preserve">3</w:t>
            </w:r>
          </w:p>
        </w:tc>
        <w:tc>
          <w:tcPr>
            <w:tcW w:w="720" w:type="dxa"/>
          </w:tcPr>
          <w:p>
            <w:pPr>
              <w:pStyle w:val="0"/>
              <w:jc w:val="center"/>
            </w:pPr>
            <w:r>
              <w:rPr>
                <w:sz w:val="20"/>
              </w:rPr>
              <w:t xml:space="preserve">4</w:t>
            </w:r>
          </w:p>
        </w:tc>
        <w:tc>
          <w:tcPr>
            <w:tcW w:w="720" w:type="dxa"/>
          </w:tcPr>
          <w:p>
            <w:pPr>
              <w:pStyle w:val="0"/>
              <w:jc w:val="center"/>
            </w:pPr>
            <w:r>
              <w:rPr>
                <w:sz w:val="20"/>
              </w:rPr>
              <w:t xml:space="preserve">5</w:t>
            </w:r>
          </w:p>
        </w:tc>
        <w:tc>
          <w:tcPr>
            <w:tcW w:w="720" w:type="dxa"/>
          </w:tcPr>
          <w:p>
            <w:pPr>
              <w:pStyle w:val="0"/>
              <w:jc w:val="center"/>
            </w:pPr>
            <w:r>
              <w:rPr>
                <w:sz w:val="20"/>
              </w:rPr>
              <w:t xml:space="preserve">6</w:t>
            </w:r>
          </w:p>
        </w:tc>
        <w:tc>
          <w:tcPr>
            <w:tcW w:w="720" w:type="dxa"/>
          </w:tcPr>
          <w:p>
            <w:pPr>
              <w:pStyle w:val="0"/>
              <w:jc w:val="center"/>
            </w:pPr>
            <w:r>
              <w:rPr>
                <w:sz w:val="20"/>
              </w:rPr>
              <w:t xml:space="preserve">7</w:t>
            </w:r>
          </w:p>
        </w:tc>
        <w:tc>
          <w:tcPr>
            <w:tcW w:w="720" w:type="dxa"/>
          </w:tcPr>
          <w:p>
            <w:pPr>
              <w:pStyle w:val="0"/>
              <w:jc w:val="center"/>
            </w:pPr>
            <w:r>
              <w:rPr>
                <w:sz w:val="20"/>
              </w:rPr>
              <w:t xml:space="preserve">8</w:t>
            </w:r>
          </w:p>
        </w:tc>
        <w:tc>
          <w:tcPr>
            <w:tcW w:w="811" w:type="dxa"/>
          </w:tcPr>
          <w:p>
            <w:pPr>
              <w:pStyle w:val="0"/>
              <w:jc w:val="center"/>
            </w:pPr>
            <w:r>
              <w:rPr>
                <w:sz w:val="20"/>
              </w:rPr>
              <w:t xml:space="preserve">9</w:t>
            </w:r>
          </w:p>
        </w:tc>
        <w:tc>
          <w:tcPr>
            <w:tcW w:w="631" w:type="dxa"/>
          </w:tcPr>
          <w:p>
            <w:pPr>
              <w:pStyle w:val="0"/>
              <w:jc w:val="center"/>
            </w:pPr>
            <w:r>
              <w:rPr>
                <w:sz w:val="20"/>
              </w:rPr>
              <w:t xml:space="preserve">10</w:t>
            </w:r>
          </w:p>
        </w:tc>
        <w:tc>
          <w:tcPr>
            <w:tcW w:w="794" w:type="dxa"/>
          </w:tcPr>
          <w:p>
            <w:pPr>
              <w:pStyle w:val="0"/>
              <w:jc w:val="center"/>
            </w:pPr>
            <w:r>
              <w:rPr>
                <w:sz w:val="20"/>
              </w:rPr>
              <w:t xml:space="preserve">11</w:t>
            </w:r>
          </w:p>
        </w:tc>
        <w:tc>
          <w:tcPr>
            <w:tcW w:w="851" w:type="dxa"/>
          </w:tcPr>
          <w:p>
            <w:pPr>
              <w:pStyle w:val="0"/>
              <w:jc w:val="center"/>
            </w:pPr>
            <w:r>
              <w:rPr>
                <w:sz w:val="20"/>
              </w:rPr>
              <w:t xml:space="preserve">12</w:t>
            </w:r>
          </w:p>
        </w:tc>
        <w:tc>
          <w:tcPr>
            <w:tcW w:w="852" w:type="dxa"/>
          </w:tcPr>
          <w:p>
            <w:pPr>
              <w:pStyle w:val="0"/>
              <w:jc w:val="center"/>
            </w:pPr>
            <w:r>
              <w:rPr>
                <w:sz w:val="20"/>
              </w:rPr>
              <w:t xml:space="preserve">13</w:t>
            </w:r>
          </w:p>
        </w:tc>
        <w:tc>
          <w:tcPr>
            <w:tcW w:w="737" w:type="dxa"/>
          </w:tcPr>
          <w:p>
            <w:pPr>
              <w:pStyle w:val="0"/>
              <w:jc w:val="center"/>
            </w:pPr>
            <w:r>
              <w:rPr>
                <w:sz w:val="20"/>
              </w:rPr>
              <w:t xml:space="preserve">14</w:t>
            </w:r>
          </w:p>
        </w:tc>
        <w:tc>
          <w:tcPr>
            <w:tcW w:w="851" w:type="dxa"/>
          </w:tcPr>
          <w:p>
            <w:pPr>
              <w:pStyle w:val="0"/>
              <w:jc w:val="center"/>
            </w:pPr>
            <w:r>
              <w:rPr>
                <w:sz w:val="20"/>
              </w:rPr>
              <w:t xml:space="preserve">15</w:t>
            </w:r>
          </w:p>
        </w:tc>
        <w:tc>
          <w:tcPr>
            <w:tcW w:w="852" w:type="dxa"/>
          </w:tcPr>
          <w:p>
            <w:pPr>
              <w:pStyle w:val="0"/>
              <w:jc w:val="center"/>
            </w:pPr>
            <w:r>
              <w:rPr>
                <w:sz w:val="20"/>
              </w:rPr>
              <w:t xml:space="preserve">16</w:t>
            </w:r>
          </w:p>
        </w:tc>
        <w:tc>
          <w:tcPr>
            <w:tcW w:w="633" w:type="dxa"/>
          </w:tcPr>
          <w:p>
            <w:pPr>
              <w:pStyle w:val="0"/>
              <w:jc w:val="center"/>
            </w:pPr>
            <w:r>
              <w:rPr>
                <w:sz w:val="20"/>
              </w:rPr>
              <w:t xml:space="preserve">17</w:t>
            </w:r>
          </w:p>
        </w:tc>
        <w:tc>
          <w:tcPr>
            <w:tcW w:w="741" w:type="dxa"/>
            <w:tcBorders>
              <w:right w:val="nil"/>
            </w:tcBorders>
          </w:tcPr>
          <w:p>
            <w:pPr>
              <w:pStyle w:val="0"/>
              <w:jc w:val="center"/>
            </w:pPr>
            <w:r>
              <w:rPr>
                <w:sz w:val="20"/>
              </w:rPr>
              <w:t xml:space="preserve">18</w:t>
            </w:r>
          </w:p>
        </w:tc>
      </w:tr>
      <w:tr>
        <w:tc>
          <w:tcPr>
            <w:tcW w:w="794" w:type="dxa"/>
            <w:tcBorders>
              <w:left w:val="nil"/>
            </w:tcBorders>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811" w:type="dxa"/>
          </w:tcPr>
          <w:p>
            <w:pPr>
              <w:pStyle w:val="0"/>
            </w:pPr>
            <w:r>
              <w:rPr>
                <w:sz w:val="20"/>
              </w:rPr>
            </w:r>
          </w:p>
        </w:tc>
        <w:tc>
          <w:tcPr>
            <w:tcW w:w="631" w:type="dxa"/>
          </w:tcPr>
          <w:p>
            <w:pPr>
              <w:pStyle w:val="0"/>
            </w:pPr>
            <w:r>
              <w:rPr>
                <w:sz w:val="20"/>
              </w:rPr>
            </w:r>
          </w:p>
        </w:tc>
        <w:tc>
          <w:tcPr>
            <w:tcW w:w="794"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737"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633" w:type="dxa"/>
          </w:tcPr>
          <w:p>
            <w:pPr>
              <w:pStyle w:val="0"/>
            </w:pPr>
            <w:r>
              <w:rPr>
                <w:sz w:val="20"/>
              </w:rPr>
            </w:r>
          </w:p>
        </w:tc>
        <w:tc>
          <w:tcPr>
            <w:tcW w:w="741" w:type="dxa"/>
            <w:tcBorders>
              <w:right w:val="nil"/>
            </w:tcBorders>
          </w:tcPr>
          <w:p>
            <w:pPr>
              <w:pStyle w:val="0"/>
            </w:pPr>
            <w:r>
              <w:rPr>
                <w:sz w:val="20"/>
              </w:rPr>
            </w:r>
          </w:p>
        </w:tc>
      </w:tr>
      <w:tr>
        <w:tc>
          <w:tcPr>
            <w:tcW w:w="794" w:type="dxa"/>
            <w:tcBorders>
              <w:left w:val="nil"/>
            </w:tcBorders>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811" w:type="dxa"/>
          </w:tcPr>
          <w:p>
            <w:pPr>
              <w:pStyle w:val="0"/>
            </w:pPr>
            <w:r>
              <w:rPr>
                <w:sz w:val="20"/>
              </w:rPr>
            </w:r>
          </w:p>
        </w:tc>
        <w:tc>
          <w:tcPr>
            <w:tcW w:w="631" w:type="dxa"/>
          </w:tcPr>
          <w:p>
            <w:pPr>
              <w:pStyle w:val="0"/>
            </w:pPr>
            <w:r>
              <w:rPr>
                <w:sz w:val="20"/>
              </w:rPr>
            </w:r>
          </w:p>
        </w:tc>
        <w:tc>
          <w:tcPr>
            <w:tcW w:w="794"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737"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633" w:type="dxa"/>
          </w:tcPr>
          <w:p>
            <w:pPr>
              <w:pStyle w:val="0"/>
            </w:pPr>
            <w:r>
              <w:rPr>
                <w:sz w:val="20"/>
              </w:rPr>
            </w:r>
          </w:p>
        </w:tc>
        <w:tc>
          <w:tcPr>
            <w:tcW w:w="741" w:type="dxa"/>
            <w:tcBorders>
              <w:right w:val="nil"/>
            </w:tcBorders>
          </w:tcPr>
          <w:p>
            <w:pPr>
              <w:pStyle w:val="0"/>
            </w:pPr>
            <w:r>
              <w:rPr>
                <w:sz w:val="20"/>
              </w:rPr>
            </w:r>
          </w:p>
        </w:tc>
      </w:tr>
      <w:tr>
        <w:tc>
          <w:tcPr>
            <w:tcW w:w="794" w:type="dxa"/>
            <w:tcBorders>
              <w:left w:val="nil"/>
            </w:tcBorders>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811" w:type="dxa"/>
          </w:tcPr>
          <w:p>
            <w:pPr>
              <w:pStyle w:val="0"/>
            </w:pPr>
            <w:r>
              <w:rPr>
                <w:sz w:val="20"/>
              </w:rPr>
            </w:r>
          </w:p>
        </w:tc>
        <w:tc>
          <w:tcPr>
            <w:tcW w:w="631" w:type="dxa"/>
          </w:tcPr>
          <w:p>
            <w:pPr>
              <w:pStyle w:val="0"/>
            </w:pPr>
            <w:r>
              <w:rPr>
                <w:sz w:val="20"/>
              </w:rPr>
            </w:r>
          </w:p>
        </w:tc>
        <w:tc>
          <w:tcPr>
            <w:tcW w:w="794"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737"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633" w:type="dxa"/>
          </w:tcPr>
          <w:p>
            <w:pPr>
              <w:pStyle w:val="0"/>
            </w:pPr>
            <w:r>
              <w:rPr>
                <w:sz w:val="20"/>
              </w:rPr>
            </w:r>
          </w:p>
        </w:tc>
        <w:tc>
          <w:tcPr>
            <w:tcW w:w="741" w:type="dxa"/>
            <w:tcBorders>
              <w:right w:val="nil"/>
            </w:tcBorders>
          </w:tcPr>
          <w:p>
            <w:pPr>
              <w:pStyle w:val="0"/>
            </w:pPr>
            <w:r>
              <w:rPr>
                <w:sz w:val="20"/>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4.  Нормативные  правовые  акты, устанавливающие размер платы (цену, тариф)</w:t>
      </w:r>
    </w:p>
    <w:p>
      <w:pPr>
        <w:pStyle w:val="1"/>
        <w:jc w:val="both"/>
      </w:pPr>
      <w:r>
        <w:rPr>
          <w:sz w:val="20"/>
        </w:rPr>
        <w:t xml:space="preserve">либо порядок ее установления </w:t>
      </w:r>
      <w:hyperlink w:history="0" w:anchor="P816"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814"/>
        <w:gridCol w:w="1814"/>
        <w:gridCol w:w="1814"/>
        <w:gridCol w:w="1814"/>
        <w:gridCol w:w="1814"/>
      </w:tblGrid>
      <w:tr>
        <w:tc>
          <w:tcPr>
            <w:gridSpan w:val="5"/>
            <w:tcW w:w="9070" w:type="dxa"/>
            <w:tcBorders>
              <w:left w:val="nil"/>
              <w:right w:val="nil"/>
            </w:tcBorders>
          </w:tcPr>
          <w:p>
            <w:pPr>
              <w:pStyle w:val="0"/>
              <w:jc w:val="center"/>
            </w:pPr>
            <w:r>
              <w:rPr>
                <w:sz w:val="20"/>
              </w:rPr>
              <w:t xml:space="preserve">Нормативный правовой акт</w:t>
            </w:r>
          </w:p>
        </w:tc>
      </w:tr>
      <w:tr>
        <w:tc>
          <w:tcPr>
            <w:tcW w:w="1814" w:type="dxa"/>
            <w:tcBorders>
              <w:left w:val="nil"/>
            </w:tcBorders>
          </w:tcPr>
          <w:p>
            <w:pPr>
              <w:pStyle w:val="0"/>
              <w:jc w:val="center"/>
            </w:pPr>
            <w:r>
              <w:rPr>
                <w:sz w:val="20"/>
              </w:rPr>
              <w:t xml:space="preserve">вид</w:t>
            </w:r>
          </w:p>
        </w:tc>
        <w:tc>
          <w:tcPr>
            <w:tcW w:w="1814" w:type="dxa"/>
          </w:tcPr>
          <w:p>
            <w:pPr>
              <w:pStyle w:val="0"/>
              <w:jc w:val="center"/>
            </w:pPr>
            <w:r>
              <w:rPr>
                <w:sz w:val="20"/>
              </w:rPr>
              <w:t xml:space="preserve">принявший орган</w:t>
            </w:r>
          </w:p>
        </w:tc>
        <w:tc>
          <w:tcPr>
            <w:tcW w:w="1814" w:type="dxa"/>
          </w:tcPr>
          <w:p>
            <w:pPr>
              <w:pStyle w:val="0"/>
              <w:jc w:val="center"/>
            </w:pPr>
            <w:r>
              <w:rPr>
                <w:sz w:val="20"/>
              </w:rPr>
              <w:t xml:space="preserve">дата</w:t>
            </w:r>
          </w:p>
        </w:tc>
        <w:tc>
          <w:tcPr>
            <w:tcW w:w="1814" w:type="dxa"/>
          </w:tcPr>
          <w:p>
            <w:pPr>
              <w:pStyle w:val="0"/>
              <w:jc w:val="center"/>
            </w:pPr>
            <w:r>
              <w:rPr>
                <w:sz w:val="20"/>
              </w:rPr>
              <w:t xml:space="preserve">номер</w:t>
            </w:r>
          </w:p>
        </w:tc>
        <w:tc>
          <w:tcPr>
            <w:tcW w:w="1814" w:type="dxa"/>
            <w:tcBorders>
              <w:right w:val="nil"/>
            </w:tcBorders>
          </w:tcPr>
          <w:p>
            <w:pPr>
              <w:pStyle w:val="0"/>
              <w:jc w:val="center"/>
            </w:pPr>
            <w:r>
              <w:rPr>
                <w:sz w:val="20"/>
              </w:rPr>
              <w:t xml:space="preserve">наименование</w:t>
            </w:r>
          </w:p>
        </w:tc>
      </w:tr>
      <w:tr>
        <w:tc>
          <w:tcPr>
            <w:tcW w:w="1814" w:type="dxa"/>
            <w:tcBorders>
              <w:left w:val="nil"/>
            </w:tcBorders>
          </w:tcPr>
          <w:p>
            <w:pPr>
              <w:pStyle w:val="0"/>
              <w:jc w:val="center"/>
            </w:pPr>
            <w:r>
              <w:rPr>
                <w:sz w:val="20"/>
              </w:rPr>
              <w:t xml:space="preserve">1</w:t>
            </w:r>
          </w:p>
        </w:tc>
        <w:tc>
          <w:tcPr>
            <w:tcW w:w="1814" w:type="dxa"/>
          </w:tcPr>
          <w:p>
            <w:pPr>
              <w:pStyle w:val="0"/>
              <w:jc w:val="center"/>
            </w:pPr>
            <w:r>
              <w:rPr>
                <w:sz w:val="20"/>
              </w:rPr>
              <w:t xml:space="preserve">2</w:t>
            </w:r>
          </w:p>
        </w:tc>
        <w:tc>
          <w:tcPr>
            <w:tcW w:w="1814" w:type="dxa"/>
          </w:tcPr>
          <w:p>
            <w:pPr>
              <w:pStyle w:val="0"/>
              <w:jc w:val="center"/>
            </w:pPr>
            <w:r>
              <w:rPr>
                <w:sz w:val="20"/>
              </w:rPr>
              <w:t xml:space="preserve">3</w:t>
            </w:r>
          </w:p>
        </w:tc>
        <w:tc>
          <w:tcPr>
            <w:tcW w:w="1814" w:type="dxa"/>
          </w:tcPr>
          <w:p>
            <w:pPr>
              <w:pStyle w:val="0"/>
              <w:jc w:val="center"/>
            </w:pPr>
            <w:r>
              <w:rPr>
                <w:sz w:val="20"/>
              </w:rPr>
              <w:t xml:space="preserve">4</w:t>
            </w:r>
          </w:p>
        </w:tc>
        <w:tc>
          <w:tcPr>
            <w:tcW w:w="1814" w:type="dxa"/>
            <w:tcBorders>
              <w:right w:val="nil"/>
            </w:tcBorders>
          </w:tcPr>
          <w:p>
            <w:pPr>
              <w:pStyle w:val="0"/>
              <w:jc w:val="center"/>
            </w:pPr>
            <w:r>
              <w:rPr>
                <w:sz w:val="20"/>
              </w:rPr>
              <w:t xml:space="preserve">5</w:t>
            </w:r>
          </w:p>
        </w:tc>
      </w:tr>
      <w:tr>
        <w:tc>
          <w:tcPr>
            <w:tcW w:w="1814" w:type="dxa"/>
            <w:tcBorders>
              <w:left w:val="nil"/>
            </w:tcBorders>
          </w:tcPr>
          <w:p>
            <w:pPr>
              <w:pStyle w:val="0"/>
            </w:pPr>
            <w:r>
              <w:rPr>
                <w:sz w:val="20"/>
              </w:rPr>
            </w:r>
          </w:p>
        </w:tc>
        <w:tc>
          <w:tcPr>
            <w:tcW w:w="1814" w:type="dxa"/>
          </w:tcPr>
          <w:p>
            <w:pPr>
              <w:pStyle w:val="0"/>
            </w:pPr>
            <w:r>
              <w:rPr>
                <w:sz w:val="20"/>
              </w:rPr>
            </w:r>
          </w:p>
        </w:tc>
        <w:tc>
          <w:tcPr>
            <w:tcW w:w="1814" w:type="dxa"/>
          </w:tcPr>
          <w:p>
            <w:pPr>
              <w:pStyle w:val="0"/>
            </w:pPr>
            <w:r>
              <w:rPr>
                <w:sz w:val="20"/>
              </w:rPr>
            </w:r>
          </w:p>
        </w:tc>
        <w:tc>
          <w:tcPr>
            <w:tcW w:w="1814" w:type="dxa"/>
          </w:tcPr>
          <w:p>
            <w:pPr>
              <w:pStyle w:val="0"/>
            </w:pPr>
            <w:r>
              <w:rPr>
                <w:sz w:val="20"/>
              </w:rPr>
            </w:r>
          </w:p>
        </w:tc>
        <w:tc>
          <w:tcPr>
            <w:tcW w:w="1814" w:type="dxa"/>
            <w:tcBorders>
              <w:right w:val="nil"/>
            </w:tcBorders>
          </w:tcPr>
          <w:p>
            <w:pPr>
              <w:pStyle w:val="0"/>
            </w:pPr>
            <w:r>
              <w:rPr>
                <w:sz w:val="20"/>
              </w:rPr>
            </w:r>
          </w:p>
        </w:tc>
      </w:tr>
    </w:tbl>
    <w:p>
      <w:pPr>
        <w:pStyle w:val="0"/>
        <w:jc w:val="both"/>
      </w:pPr>
      <w:r>
        <w:rPr>
          <w:sz w:val="20"/>
        </w:rPr>
      </w:r>
    </w:p>
    <w:p>
      <w:pPr>
        <w:pStyle w:val="1"/>
        <w:jc w:val="both"/>
      </w:pPr>
      <w:r>
        <w:rPr>
          <w:sz w:val="20"/>
        </w:rPr>
        <w:t xml:space="preserve">         Часть III. Прочие сведения о государственном задании </w:t>
      </w:r>
      <w:hyperlink w:history="0" w:anchor="P818" w:tooltip="&lt;9&gt; Заполняется в целом по государственному заданию.">
        <w:r>
          <w:rPr>
            <w:sz w:val="20"/>
            <w:color w:val="0000ff"/>
          </w:rPr>
          <w:t xml:space="preserve">&lt;9&gt;</w:t>
        </w:r>
      </w:hyperlink>
    </w:p>
    <w:p>
      <w:pPr>
        <w:pStyle w:val="1"/>
        <w:jc w:val="both"/>
      </w:pPr>
      <w:r>
        <w:rPr>
          <w:sz w:val="20"/>
        </w:rPr>
      </w:r>
    </w:p>
    <w:p>
      <w:pPr>
        <w:pStyle w:val="1"/>
        <w:jc w:val="both"/>
      </w:pPr>
      <w:r>
        <w:rPr>
          <w:sz w:val="20"/>
        </w:rPr>
        <w:t xml:space="preserve">1. Основания (условия и порядок)</w:t>
      </w:r>
    </w:p>
    <w:p>
      <w:pPr>
        <w:pStyle w:val="1"/>
        <w:jc w:val="both"/>
      </w:pPr>
      <w:r>
        <w:rPr>
          <w:sz w:val="20"/>
        </w:rPr>
        <w:t xml:space="preserve">для досрочного прекращения</w:t>
      </w:r>
    </w:p>
    <w:p>
      <w:pPr>
        <w:pStyle w:val="1"/>
        <w:jc w:val="both"/>
      </w:pPr>
      <w:r>
        <w:rPr>
          <w:sz w:val="20"/>
        </w:rPr>
        <w:t xml:space="preserve">выполнения государственного задания      __________________________________</w:t>
      </w:r>
    </w:p>
    <w:p>
      <w:pPr>
        <w:pStyle w:val="1"/>
        <w:jc w:val="both"/>
      </w:pPr>
      <w:r>
        <w:rPr>
          <w:sz w:val="20"/>
        </w:rPr>
        <w:t xml:space="preserve">2. Иная информация, необходимая</w:t>
      </w:r>
    </w:p>
    <w:p>
      <w:pPr>
        <w:pStyle w:val="1"/>
        <w:jc w:val="both"/>
      </w:pPr>
      <w:r>
        <w:rPr>
          <w:sz w:val="20"/>
        </w:rPr>
        <w:t xml:space="preserve">для выполнения (контроля за выполнением)</w:t>
      </w:r>
    </w:p>
    <w:p>
      <w:pPr>
        <w:pStyle w:val="1"/>
        <w:jc w:val="both"/>
      </w:pPr>
      <w:r>
        <w:rPr>
          <w:sz w:val="20"/>
        </w:rPr>
        <w:t xml:space="preserve">государственного задания                 __________________________________</w:t>
      </w:r>
    </w:p>
    <w:p>
      <w:pPr>
        <w:pStyle w:val="1"/>
        <w:jc w:val="both"/>
      </w:pPr>
      <w:r>
        <w:rPr>
          <w:sz w:val="20"/>
        </w:rPr>
        <w:t xml:space="preserve">3. Порядок контроля за выполнением государственного задания</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191"/>
        <w:gridCol w:w="1757"/>
        <w:gridCol w:w="6121"/>
      </w:tblGrid>
      <w:tr>
        <w:tc>
          <w:tcPr>
            <w:tcW w:w="1191" w:type="dxa"/>
            <w:tcBorders>
              <w:left w:val="nil"/>
            </w:tcBorders>
          </w:tcPr>
          <w:p>
            <w:pPr>
              <w:pStyle w:val="0"/>
              <w:jc w:val="center"/>
            </w:pPr>
            <w:r>
              <w:rPr>
                <w:sz w:val="20"/>
              </w:rPr>
              <w:t xml:space="preserve">Форма контроля</w:t>
            </w:r>
          </w:p>
        </w:tc>
        <w:tc>
          <w:tcPr>
            <w:tcW w:w="1757" w:type="dxa"/>
          </w:tcPr>
          <w:p>
            <w:pPr>
              <w:pStyle w:val="0"/>
              <w:jc w:val="center"/>
            </w:pPr>
            <w:r>
              <w:rPr>
                <w:sz w:val="20"/>
              </w:rPr>
              <w:t xml:space="preserve">Периодичность</w:t>
            </w:r>
          </w:p>
        </w:tc>
        <w:tc>
          <w:tcPr>
            <w:tcW w:w="6121" w:type="dxa"/>
            <w:tcBorders>
              <w:right w:val="nil"/>
            </w:tcBorders>
          </w:tcPr>
          <w:p>
            <w:pPr>
              <w:pStyle w:val="0"/>
              <w:jc w:val="center"/>
            </w:pPr>
            <w:r>
              <w:rPr>
                <w:sz w:val="20"/>
              </w:rPr>
              <w:t xml:space="preserve">Федеральные органы исполнительной власти (государственные органы), осуществляющие контроль за выполнением государственного задания</w:t>
            </w:r>
          </w:p>
        </w:tc>
      </w:tr>
      <w:tr>
        <w:tc>
          <w:tcPr>
            <w:tcW w:w="1191" w:type="dxa"/>
            <w:tcBorders>
              <w:left w:val="nil"/>
            </w:tcBorders>
          </w:tcPr>
          <w:p>
            <w:pPr>
              <w:pStyle w:val="0"/>
              <w:jc w:val="center"/>
            </w:pPr>
            <w:r>
              <w:rPr>
                <w:sz w:val="20"/>
              </w:rPr>
              <w:t xml:space="preserve">1</w:t>
            </w:r>
          </w:p>
        </w:tc>
        <w:tc>
          <w:tcPr>
            <w:tcW w:w="1757" w:type="dxa"/>
          </w:tcPr>
          <w:p>
            <w:pPr>
              <w:pStyle w:val="0"/>
              <w:jc w:val="center"/>
            </w:pPr>
            <w:r>
              <w:rPr>
                <w:sz w:val="20"/>
              </w:rPr>
              <w:t xml:space="preserve">2</w:t>
            </w:r>
          </w:p>
        </w:tc>
        <w:tc>
          <w:tcPr>
            <w:tcW w:w="6121" w:type="dxa"/>
            <w:tcBorders>
              <w:right w:val="nil"/>
            </w:tcBorders>
          </w:tcPr>
          <w:p>
            <w:pPr>
              <w:pStyle w:val="0"/>
              <w:jc w:val="center"/>
            </w:pPr>
            <w:r>
              <w:rPr>
                <w:sz w:val="20"/>
              </w:rPr>
              <w:t xml:space="preserve">3</w:t>
            </w:r>
          </w:p>
        </w:tc>
      </w:tr>
      <w:tr>
        <w:tc>
          <w:tcPr>
            <w:tcW w:w="1191" w:type="dxa"/>
            <w:tcBorders>
              <w:left w:val="nil"/>
            </w:tcBorders>
          </w:tcPr>
          <w:p>
            <w:pPr>
              <w:pStyle w:val="0"/>
            </w:pPr>
            <w:r>
              <w:rPr>
                <w:sz w:val="20"/>
              </w:rPr>
            </w:r>
          </w:p>
        </w:tc>
        <w:tc>
          <w:tcPr>
            <w:tcW w:w="1757" w:type="dxa"/>
          </w:tcPr>
          <w:p>
            <w:pPr>
              <w:pStyle w:val="0"/>
            </w:pPr>
            <w:r>
              <w:rPr>
                <w:sz w:val="20"/>
              </w:rPr>
            </w:r>
          </w:p>
        </w:tc>
        <w:tc>
          <w:tcPr>
            <w:tcW w:w="6121" w:type="dxa"/>
            <w:tcBorders>
              <w:right w:val="nil"/>
            </w:tcBorders>
          </w:tcPr>
          <w:p>
            <w:pPr>
              <w:pStyle w:val="0"/>
            </w:pPr>
            <w:r>
              <w:rPr>
                <w:sz w:val="20"/>
              </w:rPr>
            </w:r>
          </w:p>
        </w:tc>
      </w:tr>
    </w:tbl>
    <w:p>
      <w:pPr>
        <w:pStyle w:val="0"/>
        <w:jc w:val="both"/>
      </w:pPr>
      <w:r>
        <w:rPr>
          <w:sz w:val="20"/>
        </w:rPr>
      </w:r>
    </w:p>
    <w:p>
      <w:pPr>
        <w:pStyle w:val="1"/>
        <w:jc w:val="both"/>
      </w:pPr>
      <w:r>
        <w:rPr>
          <w:sz w:val="20"/>
        </w:rPr>
        <w:t xml:space="preserve">4. Требования к отчетности</w:t>
      </w:r>
    </w:p>
    <w:p>
      <w:pPr>
        <w:pStyle w:val="1"/>
        <w:jc w:val="both"/>
      </w:pPr>
      <w:r>
        <w:rPr>
          <w:sz w:val="20"/>
        </w:rPr>
        <w:t xml:space="preserve">о выполнении государственного задания       _______________________________</w:t>
      </w:r>
    </w:p>
    <w:p>
      <w:pPr>
        <w:pStyle w:val="1"/>
        <w:jc w:val="both"/>
      </w:pPr>
      <w:r>
        <w:rPr>
          <w:sz w:val="20"/>
        </w:rPr>
        <w:t xml:space="preserve">4.1. Периодичность представления отчетов</w:t>
      </w:r>
    </w:p>
    <w:p>
      <w:pPr>
        <w:pStyle w:val="1"/>
        <w:jc w:val="both"/>
      </w:pPr>
      <w:r>
        <w:rPr>
          <w:sz w:val="20"/>
        </w:rPr>
        <w:t xml:space="preserve">о выполнении государственного задания       _______________________________</w:t>
      </w:r>
    </w:p>
    <w:p>
      <w:pPr>
        <w:pStyle w:val="1"/>
        <w:jc w:val="both"/>
      </w:pPr>
      <w:r>
        <w:rPr>
          <w:sz w:val="20"/>
        </w:rPr>
        <w:t xml:space="preserve">4.2. Сроки представления отчетов</w:t>
      </w:r>
    </w:p>
    <w:p>
      <w:pPr>
        <w:pStyle w:val="1"/>
        <w:jc w:val="both"/>
      </w:pPr>
      <w:r>
        <w:rPr>
          <w:sz w:val="20"/>
        </w:rPr>
        <w:t xml:space="preserve">о выполнении государственного задания       _______________________________</w:t>
      </w:r>
    </w:p>
    <w:p>
      <w:pPr>
        <w:pStyle w:val="1"/>
        <w:jc w:val="both"/>
      </w:pPr>
      <w:r>
        <w:rPr>
          <w:sz w:val="20"/>
        </w:rPr>
        <w:t xml:space="preserve">4.2.1. Сроки представления предварительного</w:t>
      </w:r>
    </w:p>
    <w:p>
      <w:pPr>
        <w:pStyle w:val="1"/>
        <w:jc w:val="both"/>
      </w:pPr>
      <w:r>
        <w:rPr>
          <w:sz w:val="20"/>
        </w:rPr>
        <w:t xml:space="preserve">отчета о выполнении государственного</w:t>
      </w:r>
    </w:p>
    <w:p>
      <w:pPr>
        <w:pStyle w:val="1"/>
        <w:jc w:val="both"/>
      </w:pPr>
      <w:r>
        <w:rPr>
          <w:sz w:val="20"/>
        </w:rPr>
        <w:t xml:space="preserve">задания                                     _______________________________</w:t>
      </w:r>
    </w:p>
    <w:p>
      <w:pPr>
        <w:pStyle w:val="1"/>
        <w:jc w:val="both"/>
      </w:pPr>
      <w:r>
        <w:rPr>
          <w:sz w:val="20"/>
        </w:rPr>
        <w:t xml:space="preserve">4.3. Иные требования к отчетности</w:t>
      </w:r>
    </w:p>
    <w:p>
      <w:pPr>
        <w:pStyle w:val="1"/>
        <w:jc w:val="both"/>
      </w:pPr>
      <w:r>
        <w:rPr>
          <w:sz w:val="20"/>
        </w:rPr>
        <w:t xml:space="preserve">о выполнении государственного задания       _______________________________</w:t>
      </w:r>
    </w:p>
    <w:p>
      <w:pPr>
        <w:pStyle w:val="1"/>
        <w:jc w:val="both"/>
      </w:pPr>
      <w:r>
        <w:rPr>
          <w:sz w:val="20"/>
        </w:rPr>
        <w:t xml:space="preserve">5. Иные показатели, связанные</w:t>
      </w:r>
    </w:p>
    <w:p>
      <w:pPr>
        <w:pStyle w:val="1"/>
        <w:jc w:val="both"/>
      </w:pPr>
      <w:r>
        <w:rPr>
          <w:sz w:val="20"/>
        </w:rPr>
        <w:t xml:space="preserve">с выполнением государственного</w:t>
      </w:r>
    </w:p>
    <w:p>
      <w:pPr>
        <w:pStyle w:val="1"/>
        <w:jc w:val="both"/>
      </w:pPr>
      <w:r>
        <w:rPr>
          <w:sz w:val="20"/>
        </w:rPr>
        <w:t xml:space="preserve">задания </w:t>
      </w:r>
      <w:hyperlink w:history="0" w:anchor="P819" w:tooltip="&lt;10&gt; В числе иных показателей может быть указано допустимое (возможное) отклонение от выполнения государственного задания (части государственного задания), в пределах которого оно (его часть) считается выполненным, при принятии органом, осуществляющим функции и полномочия учредителя федеральных бюджетных или автономных учреждений, главным распорядителем средств федерального бюджета, в ведении которого находятся федеральные казенные учреждения, решения об установлении общего допустимого (возможного) откло...">
        <w:r>
          <w:rPr>
            <w:sz w:val="20"/>
            <w:color w:val="0000ff"/>
          </w:rPr>
          <w:t xml:space="preserve">&lt;10&gt;</w:t>
        </w:r>
      </w:hyperlink>
      <w:r>
        <w:rPr>
          <w:sz w:val="20"/>
        </w:rPr>
        <w:t xml:space="preserve">                                _______________________________</w:t>
      </w:r>
    </w:p>
    <w:p>
      <w:pPr>
        <w:pStyle w:val="0"/>
        <w:jc w:val="both"/>
      </w:pPr>
      <w:r>
        <w:rPr>
          <w:sz w:val="20"/>
        </w:rPr>
      </w:r>
    </w:p>
    <w:p>
      <w:pPr>
        <w:pStyle w:val="0"/>
        <w:ind w:firstLine="540"/>
        <w:jc w:val="both"/>
      </w:pPr>
      <w:r>
        <w:rPr>
          <w:sz w:val="20"/>
        </w:rPr>
        <w:t xml:space="preserve">--------------------------------</w:t>
      </w:r>
    </w:p>
    <w:bookmarkStart w:id="809" w:name="P809"/>
    <w:bookmarkEnd w:id="809"/>
    <w:p>
      <w:pPr>
        <w:pStyle w:val="0"/>
        <w:spacing w:before="200" w:lineRule="auto"/>
        <w:ind w:firstLine="540"/>
        <w:jc w:val="both"/>
      </w:pPr>
      <w:r>
        <w:rPr>
          <w:sz w:val="20"/>
        </w:rPr>
        <w:t xml:space="preserve">&lt;1&gt; Номер государственного задания присваивается в системе "Электронный бюджет".</w:t>
      </w:r>
    </w:p>
    <w:bookmarkStart w:id="810" w:name="P810"/>
    <w:bookmarkEnd w:id="810"/>
    <w:p>
      <w:pPr>
        <w:pStyle w:val="0"/>
        <w:spacing w:before="200" w:lineRule="auto"/>
        <w:ind w:firstLine="540"/>
        <w:jc w:val="both"/>
      </w:pPr>
      <w:r>
        <w:rPr>
          <w:sz w:val="20"/>
        </w:rPr>
        <w:t xml:space="preserve">&lt;2&gt; Заполняется в случае досрочного прекращения выполнения государственного задания.</w:t>
      </w:r>
    </w:p>
    <w:bookmarkStart w:id="811" w:name="P811"/>
    <w:bookmarkEnd w:id="811"/>
    <w:p>
      <w:pPr>
        <w:pStyle w:val="0"/>
        <w:spacing w:before="200" w:lineRule="auto"/>
        <w:ind w:firstLine="540"/>
        <w:jc w:val="both"/>
      </w:pPr>
      <w:r>
        <w:rPr>
          <w:sz w:val="20"/>
        </w:rPr>
        <w:t xml:space="preserve">&lt;3&gt;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bookmarkStart w:id="812" w:name="P812"/>
    <w:bookmarkEnd w:id="812"/>
    <w:p>
      <w:pPr>
        <w:pStyle w:val="0"/>
        <w:spacing w:before="200" w:lineRule="auto"/>
        <w:ind w:firstLine="540"/>
        <w:jc w:val="both"/>
      </w:pPr>
      <w:r>
        <w:rPr>
          <w:sz w:val="20"/>
        </w:rPr>
        <w:t xml:space="preserve">&lt;4&gt; Заполняется в соответствии с показателями, характеризующими качество услуг (работ), установленными в общероссийском базовом перечне или федеральном перечне, и единицами их измерения.</w:t>
      </w:r>
    </w:p>
    <w:bookmarkStart w:id="813" w:name="P813"/>
    <w:bookmarkEnd w:id="813"/>
    <w:p>
      <w:pPr>
        <w:pStyle w:val="0"/>
        <w:spacing w:before="200" w:lineRule="auto"/>
        <w:ind w:firstLine="540"/>
        <w:jc w:val="both"/>
      </w:pPr>
      <w:r>
        <w:rPr>
          <w:sz w:val="20"/>
        </w:rPr>
        <w:t xml:space="preserve">&lt;5&gt; Заполняется в соответствии с общероссийскими базовыми перечнями или федеральными перечнями.</w:t>
      </w:r>
    </w:p>
    <w:bookmarkStart w:id="814" w:name="P814"/>
    <w:bookmarkEnd w:id="814"/>
    <w:p>
      <w:pPr>
        <w:pStyle w:val="0"/>
        <w:spacing w:before="200" w:lineRule="auto"/>
        <w:ind w:firstLine="540"/>
        <w:jc w:val="both"/>
      </w:pPr>
      <w:r>
        <w:rPr>
          <w:sz w:val="20"/>
        </w:rPr>
        <w:t xml:space="preserve">&lt;6&gt; Заполняется в соответствии с кодом, указанным в общероссийском базовом перечне или федеральном перечне (при наличии).</w:t>
      </w:r>
    </w:p>
    <w:bookmarkStart w:id="815" w:name="P815"/>
    <w:bookmarkEnd w:id="815"/>
    <w:p>
      <w:pPr>
        <w:pStyle w:val="0"/>
        <w:spacing w:before="200" w:lineRule="auto"/>
        <w:ind w:firstLine="540"/>
        <w:jc w:val="both"/>
      </w:pPr>
      <w:r>
        <w:rPr>
          <w:sz w:val="20"/>
        </w:rPr>
        <w:t xml:space="preserve">&lt;6-1&gt; Для работ по проведению научных исследований (разработок) указываются наименование научной темы научного исследования (разработки) и плановый результат выполнения научной темы научного исследования (разработки), который включает в себя информацию об уровне (уровнях) готовности технологии и виде (видах) научного и (или) научно-технического результата.</w:t>
      </w:r>
    </w:p>
    <w:bookmarkStart w:id="816" w:name="P816"/>
    <w:bookmarkEnd w:id="816"/>
    <w:p>
      <w:pPr>
        <w:pStyle w:val="0"/>
        <w:spacing w:before="200" w:lineRule="auto"/>
        <w:ind w:firstLine="540"/>
        <w:jc w:val="both"/>
      </w:pPr>
      <w:r>
        <w:rPr>
          <w:sz w:val="20"/>
        </w:rPr>
        <w:t xml:space="preserve">&lt;7&gt;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bookmarkStart w:id="817" w:name="P817"/>
    <w:bookmarkEnd w:id="817"/>
    <w:p>
      <w:pPr>
        <w:pStyle w:val="0"/>
        <w:spacing w:before="200" w:lineRule="auto"/>
        <w:ind w:firstLine="540"/>
        <w:jc w:val="both"/>
      </w:pPr>
      <w:r>
        <w:rPr>
          <w:sz w:val="20"/>
        </w:rPr>
        <w:t xml:space="preserve">&lt;8&gt;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w:t>
      </w:r>
    </w:p>
    <w:bookmarkStart w:id="818" w:name="P818"/>
    <w:bookmarkEnd w:id="818"/>
    <w:p>
      <w:pPr>
        <w:pStyle w:val="0"/>
        <w:spacing w:before="200" w:lineRule="auto"/>
        <w:ind w:firstLine="540"/>
        <w:jc w:val="both"/>
      </w:pPr>
      <w:r>
        <w:rPr>
          <w:sz w:val="20"/>
        </w:rPr>
        <w:t xml:space="preserve">&lt;9&gt; Заполняется в целом по государственному заданию.</w:t>
      </w:r>
    </w:p>
    <w:bookmarkStart w:id="819" w:name="P819"/>
    <w:bookmarkEnd w:id="819"/>
    <w:p>
      <w:pPr>
        <w:pStyle w:val="0"/>
        <w:spacing w:before="200" w:lineRule="auto"/>
        <w:ind w:firstLine="540"/>
        <w:jc w:val="both"/>
      </w:pPr>
      <w:r>
        <w:rPr>
          <w:sz w:val="20"/>
        </w:rPr>
        <w:t xml:space="preserve">&lt;10&gt; В числе иных показателей может быть указано допустимое (возможное) отклонение от выполнения государственного задания (части государственного задания), в пределах которого оно (его часть) считается выполненным, при принятии органом, осуществляющим функции и полномочия учредителя федеральных бюджетных или автономных учреждений, главным распорядителем средств федерального бюджета, в ведении которого находятся федеральные казенные учреждения, решения об установлении общего допустимого (возможного) отклонения от выполнения государственного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w:history="0" w:anchor="P346" w:tooltip="3.1. Показатели, характеризующие качество государственной услуги &lt;4&gt;">
        <w:r>
          <w:rPr>
            <w:sz w:val="20"/>
            <w:color w:val="0000ff"/>
          </w:rPr>
          <w:t xml:space="preserve">подпунктами 3.1</w:t>
        </w:r>
      </w:hyperlink>
      <w:r>
        <w:rPr>
          <w:sz w:val="20"/>
        </w:rPr>
        <w:t xml:space="preserve"> и </w:t>
      </w:r>
      <w:hyperlink w:history="0" w:anchor="P422" w:tooltip="3.2. Показатели, характеризующие объем государственной услуги">
        <w:r>
          <w:rPr>
            <w:sz w:val="20"/>
            <w:color w:val="0000ff"/>
          </w:rPr>
          <w:t xml:space="preserve">3.2 частей I</w:t>
        </w:r>
      </w:hyperlink>
      <w:r>
        <w:rPr>
          <w:sz w:val="20"/>
        </w:rPr>
        <w:t xml:space="preserve"> и </w:t>
      </w:r>
      <w:hyperlink w:history="0" w:anchor="P551" w:tooltip="               Часть II. Сведения о выполняемых работах &lt;3&gt;">
        <w:r>
          <w:rPr>
            <w:sz w:val="20"/>
            <w:color w:val="0000ff"/>
          </w:rPr>
          <w:t xml:space="preserve">II</w:t>
        </w:r>
      </w:hyperlink>
      <w:r>
        <w:rPr>
          <w:sz w:val="20"/>
        </w:rPr>
        <w:t xml:space="preserve"> настоящего государственного задания, принимают значения, равные установленному допустимому (возможному) отклонению от выполнения государственного задания (части государственного задания). В случае установления требования о представлении ежемесячных или ежеквартальных отчетов о выполнении государственного задания в числе иных показателей устанавливаются показатели выполнения государственного задания в процентах от годового объема оказания государственных услуг (выполнения работ) или в абсолютных величинах как для государственного задания в целом, так и относительно его части (в том числе с учетом неравномерного оказания государственных услуг (выполнения работ) в течение календарного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Положению о формировании</w:t>
      </w:r>
    </w:p>
    <w:p>
      <w:pPr>
        <w:pStyle w:val="0"/>
        <w:jc w:val="right"/>
      </w:pPr>
      <w:r>
        <w:rPr>
          <w:sz w:val="20"/>
        </w:rPr>
        <w:t xml:space="preserve">государственного задания на оказание</w:t>
      </w:r>
    </w:p>
    <w:p>
      <w:pPr>
        <w:pStyle w:val="0"/>
        <w:jc w:val="right"/>
      </w:pPr>
      <w:r>
        <w:rPr>
          <w:sz w:val="20"/>
        </w:rPr>
        <w:t xml:space="preserve">государственных услуг (выполнение</w:t>
      </w:r>
    </w:p>
    <w:p>
      <w:pPr>
        <w:pStyle w:val="0"/>
        <w:jc w:val="right"/>
      </w:pPr>
      <w:r>
        <w:rPr>
          <w:sz w:val="20"/>
        </w:rPr>
        <w:t xml:space="preserve">работ) в отношении федеральных</w:t>
      </w:r>
    </w:p>
    <w:p>
      <w:pPr>
        <w:pStyle w:val="0"/>
        <w:jc w:val="right"/>
      </w:pPr>
      <w:r>
        <w:rPr>
          <w:sz w:val="20"/>
        </w:rPr>
        <w:t xml:space="preserve">государственных учреждений</w:t>
      </w:r>
    </w:p>
    <w:p>
      <w:pPr>
        <w:pStyle w:val="0"/>
        <w:jc w:val="right"/>
      </w:pPr>
      <w:r>
        <w:rPr>
          <w:sz w:val="20"/>
        </w:rPr>
        <w:t xml:space="preserve">и финансовом обеспечении выполнения</w:t>
      </w:r>
    </w:p>
    <w:p>
      <w:pPr>
        <w:pStyle w:val="0"/>
        <w:jc w:val="right"/>
      </w:pPr>
      <w:r>
        <w:rPr>
          <w:sz w:val="20"/>
        </w:rPr>
        <w:t xml:space="preserve">государственного задания</w:t>
      </w:r>
    </w:p>
    <w:p>
      <w:pPr>
        <w:pStyle w:val="0"/>
        <w:jc w:val="right"/>
      </w:pPr>
      <w:r>
        <w:rPr>
          <w:sz w:val="20"/>
        </w:rPr>
      </w:r>
    </w:p>
    <w:p>
      <w:pPr>
        <w:pStyle w:val="1"/>
        <w:jc w:val="both"/>
      </w:pPr>
      <w:r>
        <w:rPr>
          <w:sz w:val="20"/>
        </w:rPr>
        <w:t xml:space="preserve">                                                  УТВЕРЖДАЮ</w:t>
      </w:r>
    </w:p>
    <w:p>
      <w:pPr>
        <w:pStyle w:val="1"/>
        <w:jc w:val="both"/>
      </w:pPr>
      <w:r>
        <w:rPr>
          <w:sz w:val="20"/>
        </w:rPr>
        <w:t xml:space="preserve">                                     Руководитель</w:t>
      </w:r>
    </w:p>
    <w:p>
      <w:pPr>
        <w:pStyle w:val="1"/>
        <w:jc w:val="both"/>
      </w:pPr>
      <w:r>
        <w:rPr>
          <w:sz w:val="20"/>
        </w:rPr>
        <w:t xml:space="preserve">                                     (уполномоченное лицо)</w:t>
      </w:r>
    </w:p>
    <w:p>
      <w:pPr>
        <w:pStyle w:val="1"/>
        <w:jc w:val="both"/>
      </w:pPr>
      <w:r>
        <w:rPr>
          <w:sz w:val="20"/>
        </w:rPr>
        <w:t xml:space="preserve">                                     ______________________________________</w:t>
      </w:r>
    </w:p>
    <w:p>
      <w:pPr>
        <w:pStyle w:val="1"/>
        <w:jc w:val="both"/>
      </w:pPr>
      <w:r>
        <w:rPr>
          <w:sz w:val="20"/>
        </w:rPr>
        <w:t xml:space="preserve">                                          (наименование федерального</w:t>
      </w:r>
    </w:p>
    <w:p>
      <w:pPr>
        <w:pStyle w:val="1"/>
        <w:jc w:val="both"/>
      </w:pPr>
      <w:r>
        <w:rPr>
          <w:sz w:val="20"/>
        </w:rPr>
        <w:t xml:space="preserve">                                          государственного учреждения)</w:t>
      </w:r>
    </w:p>
    <w:p>
      <w:pPr>
        <w:pStyle w:val="1"/>
        <w:jc w:val="both"/>
      </w:pPr>
      <w:r>
        <w:rPr>
          <w:sz w:val="20"/>
        </w:rPr>
        <w:t xml:space="preserve">                                      ___________ _________ _____________</w:t>
      </w:r>
    </w:p>
    <w:p>
      <w:pPr>
        <w:pStyle w:val="1"/>
        <w:jc w:val="both"/>
      </w:pPr>
      <w:r>
        <w:rPr>
          <w:sz w:val="20"/>
        </w:rPr>
        <w:t xml:space="preserve">                                      (должность)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                                          "__" ______________ 20__ г.</w:t>
      </w:r>
    </w:p>
    <w:p>
      <w:pPr>
        <w:pStyle w:val="1"/>
        <w:jc w:val="both"/>
      </w:pPr>
      <w:r>
        <w:rPr>
          <w:sz w:val="20"/>
        </w:rPr>
      </w:r>
    </w:p>
    <w:bookmarkStart w:id="846" w:name="P846"/>
    <w:bookmarkEnd w:id="846"/>
    <w:p>
      <w:pPr>
        <w:pStyle w:val="1"/>
        <w:jc w:val="both"/>
      </w:pPr>
      <w:r>
        <w:rPr>
          <w:sz w:val="20"/>
        </w:rPr>
        <w:t xml:space="preserve">                     РАСПРЕДЕЛЕНИЕ ПОКАЗАТЕЛЕЙ ОБЪЕМА</w:t>
      </w:r>
    </w:p>
    <w:p>
      <w:pPr>
        <w:pStyle w:val="1"/>
        <w:jc w:val="both"/>
      </w:pPr>
      <w:r>
        <w:rPr>
          <w:sz w:val="20"/>
        </w:rPr>
        <w:t xml:space="preserve">                ГОСУДАРСТВЕННЫХ УСЛУГ (РАБОТ), СОДЕРЖАЩИХСЯ</w:t>
      </w:r>
    </w:p>
    <w:p>
      <w:pPr>
        <w:pStyle w:val="1"/>
        <w:jc w:val="both"/>
      </w:pPr>
      <w:r>
        <w:rPr>
          <w:sz w:val="20"/>
        </w:rPr>
        <w:t xml:space="preserve">                                                  ┌────┐</w:t>
      </w:r>
    </w:p>
    <w:p>
      <w:pPr>
        <w:pStyle w:val="1"/>
        <w:jc w:val="both"/>
      </w:pPr>
      <w:r>
        <w:rPr>
          <w:sz w:val="20"/>
        </w:rPr>
        <w:t xml:space="preserve">                  В ГОСУДАРСТВЕННОМ ЗАДАНИИ N </w:t>
      </w:r>
      <w:hyperlink w:history="0" w:anchor="P1253" w:tooltip="&lt;1&gt; Номер распределения показателей объема государственных услуг (работ), содержащихся в государственном задании, присвоенный в системе &quot;Электронный бюджет&quot;.">
        <w:r>
          <w:rPr>
            <w:sz w:val="20"/>
            <w:color w:val="0000ff"/>
          </w:rPr>
          <w:t xml:space="preserve">&lt;1&gt;</w:t>
        </w:r>
      </w:hyperlink>
      <w:r>
        <w:rPr>
          <w:sz w:val="20"/>
        </w:rPr>
        <w:t xml:space="preserve"> │    │</w:t>
      </w:r>
    </w:p>
    <w:p>
      <w:pPr>
        <w:pStyle w:val="1"/>
        <w:jc w:val="both"/>
      </w:pPr>
      <w:r>
        <w:rPr>
          <w:sz w:val="20"/>
        </w:rPr>
        <w:t xml:space="preserve">                                                  └────┘</w:t>
      </w:r>
    </w:p>
    <w:p>
      <w:pPr>
        <w:pStyle w:val="1"/>
        <w:jc w:val="both"/>
      </w:pPr>
      <w:r>
        <w:rPr>
          <w:sz w:val="20"/>
        </w:rPr>
        <w:t xml:space="preserve">            на 20__ год и на плановый период 20__ и 20__ годов</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1701"/>
        <w:gridCol w:w="3969"/>
        <w:gridCol w:w="2324"/>
        <w:gridCol w:w="1020"/>
      </w:tblGrid>
      <w:tr>
        <w:tc>
          <w:tcPr>
            <w:tcW w:w="1701" w:type="dxa"/>
            <w:tcBorders>
              <w:top w:val="nil"/>
              <w:left w:val="nil"/>
              <w:bottom w:val="nil"/>
              <w:right w:val="nil"/>
            </w:tcBorders>
            <w:vMerge w:val="restart"/>
          </w:tcPr>
          <w:p>
            <w:pPr>
              <w:pStyle w:val="0"/>
            </w:pPr>
            <w:r>
              <w:rPr>
                <w:sz w:val="20"/>
              </w:rPr>
            </w:r>
          </w:p>
        </w:tc>
        <w:tc>
          <w:tcPr>
            <w:gridSpan w:val="2"/>
            <w:tcW w:w="6293" w:type="dxa"/>
            <w:tcBorders>
              <w:top w:val="nil"/>
              <w:left w:val="nil"/>
              <w:bottom w:val="nil"/>
              <w:right w:val="single" w:sz="4"/>
            </w:tcBorders>
          </w:tcPr>
          <w:p>
            <w:pPr>
              <w:pStyle w:val="0"/>
            </w:pPr>
            <w:r>
              <w:rPr>
                <w:sz w:val="20"/>
              </w:rPr>
            </w:r>
          </w:p>
        </w:tc>
        <w:tc>
          <w:tcPr>
            <w:tcW w:w="1020" w:type="dxa"/>
            <w:tcBorders>
              <w:top w:val="single" w:sz="4"/>
              <w:left w:val="single" w:sz="4"/>
              <w:bottom w:val="single" w:sz="4"/>
              <w:right w:val="single" w:sz="4"/>
            </w:tcBorders>
          </w:tcPr>
          <w:p>
            <w:pPr>
              <w:pStyle w:val="0"/>
              <w:jc w:val="center"/>
            </w:pPr>
            <w:r>
              <w:rPr>
                <w:sz w:val="20"/>
              </w:rPr>
              <w:t xml:space="preserve">Коды</w:t>
            </w:r>
          </w:p>
        </w:tc>
      </w:tr>
      <w:tr>
        <w:tc>
          <w:tcPr>
            <w:tcBorders>
              <w:top w:val="nil"/>
              <w:left w:val="nil"/>
              <w:bottom w:val="nil"/>
              <w:right w:val="nil"/>
            </w:tcBorders>
            <w:vMerge w:val="continue"/>
          </w:tcPr>
          <w:p/>
        </w:tc>
        <w:tc>
          <w:tcPr>
            <w:tcW w:w="3969" w:type="dxa"/>
            <w:tcBorders>
              <w:top w:val="nil"/>
              <w:left w:val="nil"/>
              <w:bottom w:val="nil"/>
              <w:right w:val="nil"/>
            </w:tcBorders>
            <w:vMerge w:val="restart"/>
          </w:tcPr>
          <w:p>
            <w:pPr>
              <w:pStyle w:val="0"/>
            </w:pPr>
            <w:r>
              <w:rPr>
                <w:sz w:val="20"/>
              </w:rPr>
            </w:r>
          </w:p>
        </w:tc>
        <w:tc>
          <w:tcPr>
            <w:tcW w:w="2324" w:type="dxa"/>
            <w:tcBorders>
              <w:top w:val="nil"/>
              <w:left w:val="nil"/>
              <w:bottom w:val="nil"/>
              <w:right w:val="single" w:sz="4"/>
            </w:tcBorders>
          </w:tcPr>
          <w:p>
            <w:pPr>
              <w:pStyle w:val="0"/>
              <w:jc w:val="right"/>
            </w:pPr>
            <w:r>
              <w:rPr>
                <w:sz w:val="20"/>
              </w:rPr>
              <w:t xml:space="preserve">Форма по </w:t>
            </w:r>
            <w:hyperlink w:history="0" r:id="rId62" w:tooltip="&quot;ОК 011-93. Общероссийский классификатор управленческой документации&quot; (утв. Постановлением Госстандарта России от 30.12.1993 N 299) (ред. от 11.09.2025) {КонсультантПлюс}">
              <w:r>
                <w:rPr>
                  <w:sz w:val="20"/>
                  <w:color w:val="0000ff"/>
                </w:rPr>
                <w:t xml:space="preserve">ОКУД</w:t>
              </w:r>
            </w:hyperlink>
          </w:p>
        </w:tc>
        <w:tc>
          <w:tcPr>
            <w:tcW w:w="1020" w:type="dxa"/>
            <w:vAlign w:val="center"/>
            <w:tcBorders>
              <w:top w:val="single" w:sz="4"/>
              <w:left w:val="single" w:sz="4"/>
              <w:bottom w:val="single" w:sz="4"/>
              <w:right w:val="single" w:sz="4"/>
            </w:tcBorders>
          </w:tcPr>
          <w:p>
            <w:pPr>
              <w:pStyle w:val="0"/>
              <w:jc w:val="center"/>
            </w:pPr>
            <w:r>
              <w:rPr>
                <w:sz w:val="20"/>
              </w:rPr>
              <w:t xml:space="preserve">0506001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324" w:type="dxa"/>
            <w:tcBorders>
              <w:top w:val="nil"/>
              <w:left w:val="nil"/>
              <w:bottom w:val="nil"/>
              <w:right w:val="single" w:sz="4"/>
            </w:tcBorders>
          </w:tcPr>
          <w:p>
            <w:pPr>
              <w:pStyle w:val="0"/>
            </w:pPr>
            <w:r>
              <w:rPr>
                <w:sz w:val="20"/>
              </w:rPr>
            </w:r>
          </w:p>
        </w:tc>
        <w:tc>
          <w:tcPr>
            <w:tcW w:w="1020" w:type="dxa"/>
            <w:tcBorders>
              <w:top w:val="single" w:sz="4"/>
              <w:left w:val="single" w:sz="4"/>
              <w:bottom w:val="single" w:sz="4"/>
              <w:right w:val="single" w:sz="4"/>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324" w:type="dxa"/>
            <w:tcBorders>
              <w:top w:val="nil"/>
              <w:left w:val="nil"/>
              <w:bottom w:val="nil"/>
              <w:right w:val="single" w:sz="4"/>
            </w:tcBorders>
          </w:tcPr>
          <w:p>
            <w:pPr>
              <w:pStyle w:val="0"/>
              <w:jc w:val="right"/>
            </w:pPr>
            <w:r>
              <w:rPr>
                <w:sz w:val="20"/>
              </w:rPr>
              <w:t xml:space="preserve">Дата начала действия</w:t>
            </w:r>
          </w:p>
        </w:tc>
        <w:tc>
          <w:tcPr>
            <w:tcW w:w="1020" w:type="dxa"/>
            <w:tcBorders>
              <w:top w:val="single" w:sz="4"/>
              <w:left w:val="single" w:sz="4"/>
              <w:bottom w:val="single" w:sz="4"/>
              <w:right w:val="single" w:sz="4"/>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324" w:type="dxa"/>
            <w:tcBorders>
              <w:top w:val="nil"/>
              <w:left w:val="nil"/>
              <w:bottom w:val="nil"/>
              <w:right w:val="single" w:sz="4"/>
            </w:tcBorders>
          </w:tcPr>
          <w:p>
            <w:pPr>
              <w:pStyle w:val="0"/>
              <w:jc w:val="right"/>
            </w:pPr>
            <w:r>
              <w:rPr>
                <w:sz w:val="20"/>
              </w:rPr>
              <w:t xml:space="preserve">Дата окончания действия </w:t>
            </w:r>
            <w:hyperlink w:history="0" w:anchor="P1255" w:tooltip="&lt;3&gt; Заполняется в случае досрочного прекращения выполнения распределения показателей объема государственных услуг (работ), содержащихся в государственном задании, утвержденного обособленному подразделению.">
              <w:r>
                <w:rPr>
                  <w:sz w:val="20"/>
                  <w:color w:val="0000ff"/>
                </w:rPr>
                <w:t xml:space="preserve">&lt;3&gt;</w:t>
              </w:r>
            </w:hyperlink>
          </w:p>
        </w:tc>
        <w:tc>
          <w:tcPr>
            <w:tcW w:w="1020" w:type="dxa"/>
            <w:tcBorders>
              <w:top w:val="single" w:sz="4"/>
              <w:left w:val="single" w:sz="4"/>
              <w:bottom w:val="single" w:sz="4"/>
              <w:right w:val="single" w:sz="4"/>
            </w:tcBorders>
          </w:tcPr>
          <w:p>
            <w:pPr>
              <w:pStyle w:val="0"/>
            </w:pPr>
            <w:r>
              <w:rPr>
                <w:sz w:val="20"/>
              </w:rPr>
            </w:r>
          </w:p>
        </w:tc>
      </w:tr>
      <w:tr>
        <w:tc>
          <w:tcPr>
            <w:tcW w:w="1701" w:type="dxa"/>
            <w:tcBorders>
              <w:top w:val="nil"/>
              <w:left w:val="nil"/>
              <w:bottom w:val="nil"/>
              <w:right w:val="nil"/>
            </w:tcBorders>
          </w:tcPr>
          <w:p>
            <w:pPr>
              <w:pStyle w:val="0"/>
            </w:pPr>
            <w:r>
              <w:rPr>
                <w:sz w:val="20"/>
              </w:rPr>
              <w:t xml:space="preserve">Номер государственного задания </w:t>
            </w:r>
            <w:hyperlink w:history="0" w:anchor="P1254" w:tooltip="&lt;2&gt; Номер государственного задания, присвоенный в системе &quot;Электронный бюджет&quot;.">
              <w:r>
                <w:rPr>
                  <w:sz w:val="20"/>
                  <w:color w:val="0000ff"/>
                </w:rPr>
                <w:t xml:space="preserve">&lt;2&gt;</w:t>
              </w:r>
            </w:hyperlink>
          </w:p>
        </w:tc>
        <w:tc>
          <w:tcPr>
            <w:tcW w:w="3969" w:type="dxa"/>
            <w:tcBorders>
              <w:top w:val="nil"/>
              <w:left w:val="nil"/>
              <w:bottom w:val="single" w:sz="4"/>
              <w:right w:val="nil"/>
            </w:tcBorders>
          </w:tcPr>
          <w:p>
            <w:pPr>
              <w:pStyle w:val="0"/>
            </w:pPr>
            <w:r>
              <w:rPr>
                <w:sz w:val="20"/>
              </w:rPr>
            </w:r>
          </w:p>
        </w:tc>
        <w:tc>
          <w:tcPr>
            <w:tcW w:w="2324" w:type="dxa"/>
            <w:tcBorders>
              <w:top w:val="nil"/>
              <w:left w:val="nil"/>
              <w:bottom w:val="nil"/>
              <w:right w:val="single" w:sz="4"/>
            </w:tcBorders>
          </w:tcPr>
          <w:p>
            <w:pPr>
              <w:pStyle w:val="0"/>
            </w:pPr>
            <w:r>
              <w:rPr>
                <w:sz w:val="20"/>
              </w:rPr>
            </w:r>
          </w:p>
        </w:tc>
        <w:tc>
          <w:tcPr>
            <w:tcW w:w="1020" w:type="dxa"/>
            <w:tcBorders>
              <w:top w:val="single" w:sz="4"/>
              <w:left w:val="single" w:sz="4"/>
              <w:bottom w:val="single" w:sz="4"/>
              <w:right w:val="single" w:sz="4"/>
            </w:tcBorders>
          </w:tcPr>
          <w:p>
            <w:pPr>
              <w:pStyle w:val="0"/>
            </w:pPr>
            <w:r>
              <w:rPr>
                <w:sz w:val="20"/>
              </w:rPr>
            </w:r>
          </w:p>
        </w:tc>
      </w:tr>
      <w:tr>
        <w:tc>
          <w:tcPr>
            <w:tcW w:w="1701" w:type="dxa"/>
            <w:tcBorders>
              <w:top w:val="nil"/>
              <w:left w:val="nil"/>
              <w:bottom w:val="nil"/>
              <w:right w:val="nil"/>
            </w:tcBorders>
          </w:tcPr>
          <w:p>
            <w:pPr>
              <w:pStyle w:val="0"/>
            </w:pPr>
            <w:r>
              <w:rPr>
                <w:sz w:val="20"/>
              </w:rPr>
              <w:t xml:space="preserve">Наименование федерального государственного учреждения</w:t>
            </w:r>
          </w:p>
        </w:tc>
        <w:tc>
          <w:tcPr>
            <w:tcW w:w="3969" w:type="dxa"/>
            <w:tcBorders>
              <w:top w:val="single" w:sz="4"/>
              <w:left w:val="nil"/>
              <w:bottom w:val="single" w:sz="4"/>
              <w:right w:val="nil"/>
            </w:tcBorders>
          </w:tcPr>
          <w:p>
            <w:pPr>
              <w:pStyle w:val="0"/>
            </w:pPr>
            <w:r>
              <w:rPr>
                <w:sz w:val="20"/>
              </w:rPr>
            </w:r>
          </w:p>
        </w:tc>
        <w:tc>
          <w:tcPr>
            <w:tcW w:w="2324" w:type="dxa"/>
            <w:tcBorders>
              <w:top w:val="nil"/>
              <w:left w:val="nil"/>
              <w:bottom w:val="nil"/>
              <w:right w:val="single" w:sz="4"/>
            </w:tcBorders>
          </w:tcPr>
          <w:p>
            <w:pPr>
              <w:pStyle w:val="0"/>
              <w:jc w:val="right"/>
            </w:pPr>
            <w:r>
              <w:rPr>
                <w:sz w:val="20"/>
              </w:rPr>
              <w:t xml:space="preserve">Код по сводному реестру</w:t>
            </w:r>
          </w:p>
        </w:tc>
        <w:tc>
          <w:tcPr>
            <w:tcW w:w="1020"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1"/>
        <w:jc w:val="both"/>
      </w:pPr>
      <w:r>
        <w:rPr>
          <w:sz w:val="20"/>
        </w:rPr>
        <w:t xml:space="preserve">       Часть I. Сведения об оказываемых государственных услугах </w:t>
      </w:r>
      <w:hyperlink w:history="0" w:anchor="P1256" w:tooltip="&lt;4&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
        <w:r>
          <w:rPr>
            <w:sz w:val="20"/>
            <w:color w:val="0000ff"/>
          </w:rPr>
          <w:t xml:space="preserve">&lt;4&gt;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1984"/>
        <w:gridCol w:w="2778"/>
        <w:gridCol w:w="2784"/>
        <w:gridCol w:w="1474"/>
      </w:tblGrid>
      <w:tr>
        <w:tblPrEx>
          <w:tblBorders>
            <w:right w:val="single" w:sz="4"/>
          </w:tblBorders>
        </w:tblPrEx>
        <w:tc>
          <w:tcPr>
            <w:tcW w:w="1984" w:type="dxa"/>
            <w:tcBorders>
              <w:top w:val="nil"/>
              <w:left w:val="nil"/>
              <w:bottom w:val="nil"/>
              <w:right w:val="nil"/>
            </w:tcBorders>
          </w:tcPr>
          <w:p>
            <w:pPr>
              <w:pStyle w:val="0"/>
            </w:pPr>
            <w:r>
              <w:rPr>
                <w:sz w:val="20"/>
              </w:rPr>
              <w:t xml:space="preserve">1. Наименование государственной услуги</w:t>
            </w:r>
          </w:p>
        </w:tc>
        <w:tc>
          <w:tcPr>
            <w:tcW w:w="2778" w:type="dxa"/>
            <w:tcBorders>
              <w:top w:val="nil"/>
              <w:left w:val="nil"/>
              <w:bottom w:val="single" w:sz="4"/>
              <w:right w:val="nil"/>
            </w:tcBorders>
          </w:tcPr>
          <w:p>
            <w:pPr>
              <w:pStyle w:val="0"/>
            </w:pPr>
            <w:r>
              <w:rPr>
                <w:sz w:val="20"/>
              </w:rPr>
            </w:r>
          </w:p>
        </w:tc>
        <w:tc>
          <w:tcPr>
            <w:tcW w:w="2784" w:type="dxa"/>
            <w:tcBorders>
              <w:top w:val="nil"/>
              <w:left w:val="nil"/>
              <w:bottom w:val="nil"/>
              <w:right w:val="single" w:sz="4"/>
            </w:tcBorders>
          </w:tcPr>
          <w:p>
            <w:pPr>
              <w:pStyle w:val="0"/>
              <w:jc w:val="right"/>
            </w:pPr>
            <w:r>
              <w:rPr>
                <w:sz w:val="20"/>
              </w:rPr>
              <w:t xml:space="preserve">Код по общероссийскому базовому перечню или федеральному перечню</w:t>
            </w:r>
          </w:p>
        </w:tc>
        <w:tc>
          <w:tcPr>
            <w:tcW w:w="1474" w:type="dxa"/>
            <w:tcBorders>
              <w:top w:val="single" w:sz="4"/>
              <w:left w:val="single" w:sz="4"/>
              <w:bottom w:val="single" w:sz="4"/>
              <w:right w:val="single" w:sz="4"/>
            </w:tcBorders>
          </w:tcPr>
          <w:p>
            <w:pPr>
              <w:pStyle w:val="0"/>
            </w:pPr>
            <w:r>
              <w:rPr>
                <w:sz w:val="20"/>
              </w:rPr>
            </w:r>
          </w:p>
        </w:tc>
      </w:tr>
      <w:tr>
        <w:tc>
          <w:tcPr>
            <w:tcW w:w="1984" w:type="dxa"/>
            <w:tcBorders>
              <w:top w:val="nil"/>
              <w:left w:val="nil"/>
              <w:bottom w:val="nil"/>
              <w:right w:val="nil"/>
            </w:tcBorders>
            <w:vMerge w:val="restart"/>
          </w:tcPr>
          <w:p>
            <w:pPr>
              <w:pStyle w:val="0"/>
            </w:pPr>
            <w:r>
              <w:rPr>
                <w:sz w:val="20"/>
              </w:rPr>
              <w:t xml:space="preserve">2. Категории потребителей государственной услуги</w:t>
            </w:r>
          </w:p>
        </w:tc>
        <w:tc>
          <w:tcPr>
            <w:tcW w:w="2778" w:type="dxa"/>
            <w:tcBorders>
              <w:top w:val="single" w:sz="4"/>
              <w:left w:val="nil"/>
              <w:bottom w:val="single" w:sz="4"/>
              <w:right w:val="nil"/>
            </w:tcBorders>
          </w:tcPr>
          <w:p>
            <w:pPr>
              <w:pStyle w:val="0"/>
            </w:pPr>
            <w:r>
              <w:rPr>
                <w:sz w:val="20"/>
              </w:rPr>
            </w:r>
          </w:p>
        </w:tc>
        <w:tc>
          <w:tcPr>
            <w:tcW w:w="2784" w:type="dxa"/>
            <w:tcBorders>
              <w:top w:val="nil"/>
              <w:left w:val="nil"/>
              <w:bottom w:val="nil"/>
              <w:right w:val="nil"/>
            </w:tcBorders>
          </w:tcPr>
          <w:p>
            <w:pPr>
              <w:pStyle w:val="0"/>
            </w:pPr>
            <w:r>
              <w:rPr>
                <w:sz w:val="20"/>
              </w:rPr>
            </w:r>
          </w:p>
        </w:tc>
        <w:tc>
          <w:tcPr>
            <w:tcW w:w="1474" w:type="dxa"/>
            <w:tcBorders>
              <w:top w:val="single" w:sz="4"/>
              <w:left w:val="nil"/>
              <w:bottom w:val="nil"/>
              <w:right w:val="nil"/>
            </w:tcBorders>
          </w:tcPr>
          <w:p>
            <w:pPr>
              <w:pStyle w:val="0"/>
            </w:pPr>
            <w:r>
              <w:rPr>
                <w:sz w:val="20"/>
              </w:rPr>
            </w:r>
          </w:p>
        </w:tc>
      </w:tr>
      <w:tr>
        <w:tc>
          <w:tcPr>
            <w:tcBorders>
              <w:top w:val="nil"/>
              <w:left w:val="nil"/>
              <w:bottom w:val="nil"/>
              <w:right w:val="nil"/>
            </w:tcBorders>
            <w:vMerge w:val="continue"/>
          </w:tcPr>
          <w:p/>
        </w:tc>
        <w:tc>
          <w:tcPr>
            <w:tcW w:w="2778" w:type="dxa"/>
            <w:tcBorders>
              <w:top w:val="single" w:sz="4"/>
              <w:left w:val="nil"/>
              <w:bottom w:val="single" w:sz="4"/>
              <w:right w:val="nil"/>
            </w:tcBorders>
          </w:tcPr>
          <w:p>
            <w:pPr>
              <w:pStyle w:val="0"/>
            </w:pPr>
            <w:r>
              <w:rPr>
                <w:sz w:val="20"/>
              </w:rPr>
            </w:r>
          </w:p>
        </w:tc>
        <w:tc>
          <w:tcPr>
            <w:tcW w:w="278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Показатели, характеризующие объем государственной услуги </w:t>
      </w:r>
      <w:hyperlink w:history="0" w:anchor="P1257" w:tooltip="&lt;5&gt; Заполняется в соответствии с государственным заданием.">
        <w:r>
          <w:rPr>
            <w:sz w:val="20"/>
            <w:color w:val="0000ff"/>
          </w:rPr>
          <w:t xml:space="preserve">&lt;5&gt;</w:t>
        </w:r>
      </w:hyperlink>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1383"/>
        <w:gridCol w:w="1132"/>
        <w:gridCol w:w="852"/>
        <w:gridCol w:w="850"/>
        <w:gridCol w:w="711"/>
        <w:gridCol w:w="1063"/>
        <w:gridCol w:w="1063"/>
        <w:gridCol w:w="846"/>
        <w:gridCol w:w="713"/>
        <w:gridCol w:w="709"/>
        <w:gridCol w:w="992"/>
        <w:gridCol w:w="851"/>
        <w:gridCol w:w="892"/>
        <w:gridCol w:w="978"/>
        <w:gridCol w:w="930"/>
        <w:gridCol w:w="861"/>
        <w:gridCol w:w="831"/>
        <w:gridCol w:w="832"/>
      </w:tblGrid>
      <w:tr>
        <w:tc>
          <w:tcPr>
            <w:tcW w:w="1383" w:type="dxa"/>
            <w:tcBorders>
              <w:left w:val="nil"/>
            </w:tcBorders>
            <w:vMerge w:val="restart"/>
          </w:tcPr>
          <w:p>
            <w:pPr>
              <w:pStyle w:val="0"/>
              <w:jc w:val="center"/>
            </w:pPr>
            <w:r>
              <w:rPr>
                <w:sz w:val="20"/>
              </w:rPr>
              <w:t xml:space="preserve">Наименование обособленного подразделения</w:t>
            </w:r>
          </w:p>
        </w:tc>
        <w:tc>
          <w:tcPr>
            <w:tcW w:w="1132" w:type="dxa"/>
            <w:vMerge w:val="restart"/>
          </w:tcPr>
          <w:p>
            <w:pPr>
              <w:pStyle w:val="0"/>
              <w:jc w:val="center"/>
            </w:pPr>
            <w:r>
              <w:rPr>
                <w:sz w:val="20"/>
              </w:rPr>
              <w:t xml:space="preserve">Уникальный номер реестровой записи</w:t>
            </w:r>
          </w:p>
        </w:tc>
        <w:tc>
          <w:tcPr>
            <w:gridSpan w:val="3"/>
            <w:tcW w:w="2413" w:type="dxa"/>
            <w:vMerge w:val="restart"/>
          </w:tcPr>
          <w:p>
            <w:pPr>
              <w:pStyle w:val="0"/>
              <w:jc w:val="center"/>
            </w:pPr>
            <w:r>
              <w:rPr>
                <w:sz w:val="20"/>
              </w:rPr>
              <w:t xml:space="preserve">Показатель, характеризующий содержание государственной услуги</w:t>
            </w:r>
          </w:p>
        </w:tc>
        <w:tc>
          <w:tcPr>
            <w:gridSpan w:val="2"/>
            <w:tcW w:w="2126" w:type="dxa"/>
            <w:vMerge w:val="restart"/>
          </w:tcPr>
          <w:p>
            <w:pPr>
              <w:pStyle w:val="0"/>
              <w:jc w:val="center"/>
            </w:pPr>
            <w:r>
              <w:rPr>
                <w:sz w:val="20"/>
              </w:rPr>
              <w:t xml:space="preserve">Показатель, характеризующий условия (формы) оказания государственной услуги</w:t>
            </w:r>
          </w:p>
        </w:tc>
        <w:tc>
          <w:tcPr>
            <w:gridSpan w:val="3"/>
            <w:tcW w:w="2268" w:type="dxa"/>
          </w:tcPr>
          <w:p>
            <w:pPr>
              <w:pStyle w:val="0"/>
              <w:jc w:val="center"/>
            </w:pPr>
            <w:r>
              <w:rPr>
                <w:sz w:val="20"/>
              </w:rPr>
              <w:t xml:space="preserve">Показатель объема государственной услуги</w:t>
            </w:r>
          </w:p>
        </w:tc>
        <w:tc>
          <w:tcPr>
            <w:gridSpan w:val="3"/>
            <w:tcW w:w="2735" w:type="dxa"/>
          </w:tcPr>
          <w:p>
            <w:pPr>
              <w:pStyle w:val="0"/>
              <w:jc w:val="center"/>
            </w:pPr>
            <w:r>
              <w:rPr>
                <w:sz w:val="20"/>
              </w:rPr>
              <w:t xml:space="preserve">Значение показателя объема государственной услуги</w:t>
            </w:r>
          </w:p>
        </w:tc>
        <w:tc>
          <w:tcPr>
            <w:gridSpan w:val="3"/>
            <w:tcW w:w="2769" w:type="dxa"/>
          </w:tcPr>
          <w:p>
            <w:pPr>
              <w:pStyle w:val="0"/>
              <w:jc w:val="center"/>
            </w:pPr>
            <w:r>
              <w:rPr>
                <w:sz w:val="20"/>
              </w:rPr>
              <w:t xml:space="preserve">Размер платы (цена, тариф)</w:t>
            </w:r>
          </w:p>
        </w:tc>
        <w:tc>
          <w:tcPr>
            <w:gridSpan w:val="2"/>
            <w:tcW w:w="1663" w:type="dxa"/>
            <w:tcBorders>
              <w:right w:val="nil"/>
            </w:tcBorders>
          </w:tcPr>
          <w:p>
            <w:pPr>
              <w:pStyle w:val="0"/>
              <w:jc w:val="center"/>
            </w:pPr>
            <w:r>
              <w:rPr>
                <w:sz w:val="20"/>
              </w:rPr>
              <w:t xml:space="preserve">Допустимые (возможные) отклонения от установленных показателей объема государственной услуги</w:t>
            </w:r>
          </w:p>
        </w:tc>
      </w:tr>
      <w:tr>
        <w:tc>
          <w:tcPr>
            <w:tcBorders>
              <w:left w:val="nil"/>
            </w:tcBorders>
            <w:vMerge w:val="continue"/>
          </w:tcPr>
          <w:p/>
        </w:tc>
        <w:tc>
          <w:tcPr>
            <w:vMerge w:val="continue"/>
          </w:tcPr>
          <w:p/>
        </w:tc>
        <w:tc>
          <w:tcPr>
            <w:gridSpan w:val="3"/>
            <w:vMerge w:val="continue"/>
          </w:tcPr>
          <w:p/>
        </w:tc>
        <w:tc>
          <w:tcPr>
            <w:gridSpan w:val="2"/>
            <w:vMerge w:val="continue"/>
          </w:tcPr>
          <w:p/>
        </w:tc>
        <w:tc>
          <w:tcPr>
            <w:tcW w:w="846" w:type="dxa"/>
            <w:vMerge w:val="restart"/>
          </w:tcPr>
          <w:p>
            <w:pPr>
              <w:pStyle w:val="0"/>
              <w:jc w:val="center"/>
            </w:pPr>
            <w:r>
              <w:rPr>
                <w:sz w:val="20"/>
              </w:rPr>
              <w:t xml:space="preserve">наименование показателя</w:t>
            </w:r>
          </w:p>
        </w:tc>
        <w:tc>
          <w:tcPr>
            <w:gridSpan w:val="2"/>
            <w:tcW w:w="1422" w:type="dxa"/>
          </w:tcPr>
          <w:p>
            <w:pPr>
              <w:pStyle w:val="0"/>
              <w:jc w:val="center"/>
            </w:pPr>
            <w:r>
              <w:rPr>
                <w:sz w:val="20"/>
              </w:rPr>
              <w:t xml:space="preserve">единица измерения</w:t>
            </w:r>
          </w:p>
        </w:tc>
        <w:tc>
          <w:tcPr>
            <w:tcW w:w="992" w:type="dxa"/>
            <w:vMerge w:val="restart"/>
          </w:tcPr>
          <w:p>
            <w:pPr>
              <w:pStyle w:val="0"/>
              <w:jc w:val="center"/>
            </w:pPr>
            <w:r>
              <w:rPr>
                <w:sz w:val="20"/>
              </w:rPr>
              <w:t xml:space="preserve">20__ год (очередной финансовый год)</w:t>
            </w:r>
          </w:p>
        </w:tc>
        <w:tc>
          <w:tcPr>
            <w:tcW w:w="851" w:type="dxa"/>
            <w:vMerge w:val="restart"/>
          </w:tcPr>
          <w:p>
            <w:pPr>
              <w:pStyle w:val="0"/>
              <w:jc w:val="center"/>
            </w:pPr>
            <w:r>
              <w:rPr>
                <w:sz w:val="20"/>
              </w:rPr>
              <w:t xml:space="preserve">20__ год (1-й год планового периода)</w:t>
            </w:r>
          </w:p>
        </w:tc>
        <w:tc>
          <w:tcPr>
            <w:tcW w:w="892" w:type="dxa"/>
            <w:vMerge w:val="restart"/>
          </w:tcPr>
          <w:p>
            <w:pPr>
              <w:pStyle w:val="0"/>
              <w:jc w:val="center"/>
            </w:pPr>
            <w:r>
              <w:rPr>
                <w:sz w:val="20"/>
              </w:rPr>
              <w:t xml:space="preserve">20__ год (2-й год планового периода)</w:t>
            </w:r>
          </w:p>
        </w:tc>
        <w:tc>
          <w:tcPr>
            <w:tcW w:w="978" w:type="dxa"/>
            <w:vMerge w:val="restart"/>
          </w:tcPr>
          <w:p>
            <w:pPr>
              <w:pStyle w:val="0"/>
              <w:jc w:val="center"/>
            </w:pPr>
            <w:r>
              <w:rPr>
                <w:sz w:val="20"/>
              </w:rPr>
              <w:t xml:space="preserve">20__ год (очередной финансовый год)</w:t>
            </w:r>
          </w:p>
        </w:tc>
        <w:tc>
          <w:tcPr>
            <w:tcW w:w="930" w:type="dxa"/>
            <w:vMerge w:val="restart"/>
          </w:tcPr>
          <w:p>
            <w:pPr>
              <w:pStyle w:val="0"/>
              <w:jc w:val="center"/>
            </w:pPr>
            <w:r>
              <w:rPr>
                <w:sz w:val="20"/>
              </w:rPr>
              <w:t xml:space="preserve">20__ год (1-й год планового периода)</w:t>
            </w:r>
          </w:p>
        </w:tc>
        <w:tc>
          <w:tcPr>
            <w:tcW w:w="861" w:type="dxa"/>
            <w:vMerge w:val="restart"/>
          </w:tcPr>
          <w:p>
            <w:pPr>
              <w:pStyle w:val="0"/>
              <w:jc w:val="center"/>
            </w:pPr>
            <w:r>
              <w:rPr>
                <w:sz w:val="20"/>
              </w:rPr>
              <w:t xml:space="preserve">20__ год (2-й год планового периода)</w:t>
            </w:r>
          </w:p>
        </w:tc>
        <w:tc>
          <w:tcPr>
            <w:tcW w:w="831" w:type="dxa"/>
            <w:vMerge w:val="restart"/>
          </w:tcPr>
          <w:p>
            <w:pPr>
              <w:pStyle w:val="0"/>
              <w:jc w:val="center"/>
            </w:pPr>
            <w:r>
              <w:rPr>
                <w:sz w:val="20"/>
              </w:rPr>
              <w:t xml:space="preserve">в процентах</w:t>
            </w:r>
          </w:p>
        </w:tc>
        <w:tc>
          <w:tcPr>
            <w:tcW w:w="832"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gridSpan w:val="3"/>
            <w:vMerge w:val="continue"/>
          </w:tcPr>
          <w:p/>
        </w:tc>
        <w:tc>
          <w:tcPr>
            <w:gridSpan w:val="2"/>
            <w:vMerge w:val="continue"/>
          </w:tcPr>
          <w:p/>
        </w:tc>
        <w:tc>
          <w:tcPr>
            <w:vMerge w:val="continue"/>
          </w:tcPr>
          <w:p/>
        </w:tc>
        <w:tc>
          <w:tcPr>
            <w:gridSpan w:val="2"/>
            <w:tcW w:w="1422"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vMerge w:val="continue"/>
          </w:tcPr>
          <w:p/>
        </w:tc>
        <w:tc>
          <w:tcPr>
            <w:gridSpan w:val="3"/>
            <w:vMerge w:val="continue"/>
          </w:tcPr>
          <w:p/>
        </w:tc>
        <w:tc>
          <w:tcPr>
            <w:gridSpan w:val="2"/>
            <w:vMerge w:val="continue"/>
          </w:tcPr>
          <w:p/>
        </w:tc>
        <w:tc>
          <w:tcPr>
            <w:vMerge w:val="continue"/>
          </w:tcPr>
          <w:p/>
        </w:tc>
        <w:tc>
          <w:tcPr>
            <w:gridSpan w:val="2"/>
            <w:tcW w:w="1422"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vMerge w:val="continue"/>
          </w:tcPr>
          <w:p/>
        </w:tc>
        <w:tc>
          <w:tcPr>
            <w:gridSpan w:val="3"/>
            <w:vMerge w:val="continue"/>
          </w:tcPr>
          <w:p/>
        </w:tc>
        <w:tc>
          <w:tcPr>
            <w:gridSpan w:val="2"/>
            <w:vMerge w:val="continue"/>
          </w:tcPr>
          <w:p/>
        </w:tc>
        <w:tc>
          <w:tcPr>
            <w:vMerge w:val="continue"/>
          </w:tcPr>
          <w:p/>
        </w:tc>
        <w:tc>
          <w:tcPr>
            <w:tcW w:w="713" w:type="dxa"/>
            <w:vMerge w:val="restart"/>
          </w:tcPr>
          <w:p>
            <w:pPr>
              <w:pStyle w:val="0"/>
              <w:jc w:val="center"/>
            </w:pPr>
            <w:r>
              <w:rPr>
                <w:sz w:val="20"/>
              </w:rPr>
              <w:t xml:space="preserve">наименование</w:t>
            </w:r>
          </w:p>
        </w:tc>
        <w:tc>
          <w:tcPr>
            <w:tcW w:w="709" w:type="dxa"/>
            <w:vMerge w:val="restart"/>
          </w:tcPr>
          <w:p>
            <w:pPr>
              <w:pStyle w:val="0"/>
              <w:jc w:val="center"/>
            </w:pPr>
            <w:r>
              <w:rPr>
                <w:sz w:val="20"/>
              </w:rPr>
              <w:t xml:space="preserve">код по </w:t>
            </w:r>
            <w:hyperlink w:history="0" r:id="rId6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vMerge w:val="continue"/>
          </w:tcPr>
          <w:p/>
        </w:tc>
        <w:tc>
          <w:tcPr>
            <w:tcW w:w="852" w:type="dxa"/>
          </w:tcPr>
          <w:p>
            <w:pPr>
              <w:pStyle w:val="0"/>
              <w:jc w:val="center"/>
            </w:pPr>
            <w:r>
              <w:rPr>
                <w:sz w:val="20"/>
              </w:rPr>
              <w:t xml:space="preserve">наименование показателя</w:t>
            </w:r>
          </w:p>
        </w:tc>
        <w:tc>
          <w:tcPr>
            <w:tcW w:w="850" w:type="dxa"/>
          </w:tcPr>
          <w:p>
            <w:pPr>
              <w:pStyle w:val="0"/>
              <w:jc w:val="center"/>
            </w:pPr>
            <w:r>
              <w:rPr>
                <w:sz w:val="20"/>
              </w:rPr>
              <w:t xml:space="preserve">наименование показателя</w:t>
            </w:r>
          </w:p>
        </w:tc>
        <w:tc>
          <w:tcPr>
            <w:tcW w:w="711" w:type="dxa"/>
          </w:tcPr>
          <w:p>
            <w:pPr>
              <w:pStyle w:val="0"/>
              <w:jc w:val="center"/>
            </w:pPr>
            <w:r>
              <w:rPr>
                <w:sz w:val="20"/>
              </w:rPr>
              <w:t xml:space="preserve">наименование показателя</w:t>
            </w:r>
          </w:p>
        </w:tc>
        <w:tc>
          <w:tcPr>
            <w:tcW w:w="1063" w:type="dxa"/>
          </w:tcPr>
          <w:p>
            <w:pPr>
              <w:pStyle w:val="0"/>
              <w:jc w:val="center"/>
            </w:pPr>
            <w:r>
              <w:rPr>
                <w:sz w:val="20"/>
              </w:rPr>
              <w:t xml:space="preserve">наименование показателя</w:t>
            </w:r>
          </w:p>
        </w:tc>
        <w:tc>
          <w:tcPr>
            <w:tcW w:w="1063" w:type="dxa"/>
          </w:tcPr>
          <w:p>
            <w:pPr>
              <w:pStyle w:val="0"/>
              <w:jc w:val="center"/>
            </w:pPr>
            <w:r>
              <w:rPr>
                <w:sz w:val="20"/>
              </w:rPr>
              <w:t xml:space="preserve">наименование показателя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1383" w:type="dxa"/>
            <w:tcBorders>
              <w:left w:val="nil"/>
            </w:tcBorders>
          </w:tcPr>
          <w:p>
            <w:pPr>
              <w:pStyle w:val="0"/>
              <w:jc w:val="center"/>
            </w:pPr>
            <w:r>
              <w:rPr>
                <w:sz w:val="20"/>
              </w:rPr>
              <w:t xml:space="preserve">1</w:t>
            </w:r>
          </w:p>
        </w:tc>
        <w:tc>
          <w:tcPr>
            <w:tcW w:w="1132" w:type="dxa"/>
          </w:tcPr>
          <w:p>
            <w:pPr>
              <w:pStyle w:val="0"/>
              <w:jc w:val="center"/>
            </w:pPr>
            <w:r>
              <w:rPr>
                <w:sz w:val="20"/>
              </w:rPr>
              <w:t xml:space="preserve">2</w:t>
            </w:r>
          </w:p>
        </w:tc>
        <w:tc>
          <w:tcPr>
            <w:tcW w:w="852" w:type="dxa"/>
          </w:tcPr>
          <w:p>
            <w:pPr>
              <w:pStyle w:val="0"/>
              <w:jc w:val="center"/>
            </w:pPr>
            <w:r>
              <w:rPr>
                <w:sz w:val="20"/>
              </w:rPr>
              <w:t xml:space="preserve">3</w:t>
            </w:r>
          </w:p>
        </w:tc>
        <w:tc>
          <w:tcPr>
            <w:tcW w:w="850" w:type="dxa"/>
          </w:tcPr>
          <w:p>
            <w:pPr>
              <w:pStyle w:val="0"/>
              <w:jc w:val="center"/>
            </w:pPr>
            <w:r>
              <w:rPr>
                <w:sz w:val="20"/>
              </w:rPr>
              <w:t xml:space="preserve">4</w:t>
            </w:r>
          </w:p>
        </w:tc>
        <w:tc>
          <w:tcPr>
            <w:tcW w:w="711" w:type="dxa"/>
          </w:tcPr>
          <w:p>
            <w:pPr>
              <w:pStyle w:val="0"/>
              <w:jc w:val="center"/>
            </w:pPr>
            <w:r>
              <w:rPr>
                <w:sz w:val="20"/>
              </w:rPr>
              <w:t xml:space="preserve">5</w:t>
            </w:r>
          </w:p>
        </w:tc>
        <w:tc>
          <w:tcPr>
            <w:tcW w:w="1063" w:type="dxa"/>
          </w:tcPr>
          <w:p>
            <w:pPr>
              <w:pStyle w:val="0"/>
              <w:jc w:val="center"/>
            </w:pPr>
            <w:r>
              <w:rPr>
                <w:sz w:val="20"/>
              </w:rPr>
              <w:t xml:space="preserve">6</w:t>
            </w:r>
          </w:p>
        </w:tc>
        <w:tc>
          <w:tcPr>
            <w:tcW w:w="1063" w:type="dxa"/>
          </w:tcPr>
          <w:p>
            <w:pPr>
              <w:pStyle w:val="0"/>
              <w:jc w:val="center"/>
            </w:pPr>
            <w:r>
              <w:rPr>
                <w:sz w:val="20"/>
              </w:rPr>
              <w:t xml:space="preserve">7</w:t>
            </w:r>
          </w:p>
        </w:tc>
        <w:tc>
          <w:tcPr>
            <w:tcW w:w="846" w:type="dxa"/>
          </w:tcPr>
          <w:p>
            <w:pPr>
              <w:pStyle w:val="0"/>
              <w:jc w:val="center"/>
            </w:pPr>
            <w:r>
              <w:rPr>
                <w:sz w:val="20"/>
              </w:rPr>
              <w:t xml:space="preserve">8</w:t>
            </w:r>
          </w:p>
        </w:tc>
        <w:tc>
          <w:tcPr>
            <w:tcW w:w="713" w:type="dxa"/>
          </w:tcPr>
          <w:p>
            <w:pPr>
              <w:pStyle w:val="0"/>
              <w:jc w:val="center"/>
            </w:pPr>
            <w:r>
              <w:rPr>
                <w:sz w:val="20"/>
              </w:rPr>
              <w:t xml:space="preserve">9</w:t>
            </w:r>
          </w:p>
        </w:tc>
        <w:tc>
          <w:tcPr>
            <w:tcW w:w="709" w:type="dxa"/>
          </w:tcPr>
          <w:p>
            <w:pPr>
              <w:pStyle w:val="0"/>
              <w:jc w:val="center"/>
            </w:pPr>
            <w:r>
              <w:rPr>
                <w:sz w:val="20"/>
              </w:rPr>
              <w:t xml:space="preserve">10</w:t>
            </w:r>
          </w:p>
        </w:tc>
        <w:tc>
          <w:tcPr>
            <w:tcW w:w="992" w:type="dxa"/>
          </w:tcPr>
          <w:p>
            <w:pPr>
              <w:pStyle w:val="0"/>
              <w:jc w:val="center"/>
            </w:pPr>
            <w:r>
              <w:rPr>
                <w:sz w:val="20"/>
              </w:rPr>
              <w:t xml:space="preserve">11</w:t>
            </w:r>
          </w:p>
        </w:tc>
        <w:tc>
          <w:tcPr>
            <w:tcW w:w="851" w:type="dxa"/>
          </w:tcPr>
          <w:p>
            <w:pPr>
              <w:pStyle w:val="0"/>
              <w:jc w:val="center"/>
            </w:pPr>
            <w:r>
              <w:rPr>
                <w:sz w:val="20"/>
              </w:rPr>
              <w:t xml:space="preserve">12</w:t>
            </w:r>
          </w:p>
        </w:tc>
        <w:tc>
          <w:tcPr>
            <w:tcW w:w="892" w:type="dxa"/>
          </w:tcPr>
          <w:p>
            <w:pPr>
              <w:pStyle w:val="0"/>
              <w:jc w:val="center"/>
            </w:pPr>
            <w:r>
              <w:rPr>
                <w:sz w:val="20"/>
              </w:rPr>
              <w:t xml:space="preserve">13</w:t>
            </w:r>
          </w:p>
        </w:tc>
        <w:tc>
          <w:tcPr>
            <w:tcW w:w="978" w:type="dxa"/>
          </w:tcPr>
          <w:p>
            <w:pPr>
              <w:pStyle w:val="0"/>
              <w:jc w:val="center"/>
            </w:pPr>
            <w:r>
              <w:rPr>
                <w:sz w:val="20"/>
              </w:rPr>
              <w:t xml:space="preserve">14</w:t>
            </w:r>
          </w:p>
        </w:tc>
        <w:tc>
          <w:tcPr>
            <w:tcW w:w="930" w:type="dxa"/>
          </w:tcPr>
          <w:p>
            <w:pPr>
              <w:pStyle w:val="0"/>
              <w:jc w:val="center"/>
            </w:pPr>
            <w:r>
              <w:rPr>
                <w:sz w:val="20"/>
              </w:rPr>
              <w:t xml:space="preserve">15</w:t>
            </w:r>
          </w:p>
        </w:tc>
        <w:tc>
          <w:tcPr>
            <w:tcW w:w="861" w:type="dxa"/>
          </w:tcPr>
          <w:p>
            <w:pPr>
              <w:pStyle w:val="0"/>
              <w:jc w:val="center"/>
            </w:pPr>
            <w:r>
              <w:rPr>
                <w:sz w:val="20"/>
              </w:rPr>
              <w:t xml:space="preserve">16</w:t>
            </w:r>
          </w:p>
        </w:tc>
        <w:tc>
          <w:tcPr>
            <w:tcW w:w="831" w:type="dxa"/>
          </w:tcPr>
          <w:p>
            <w:pPr>
              <w:pStyle w:val="0"/>
              <w:jc w:val="center"/>
            </w:pPr>
            <w:r>
              <w:rPr>
                <w:sz w:val="20"/>
              </w:rPr>
              <w:t xml:space="preserve">17</w:t>
            </w:r>
          </w:p>
        </w:tc>
        <w:tc>
          <w:tcPr>
            <w:tcW w:w="832" w:type="dxa"/>
            <w:tcBorders>
              <w:right w:val="nil"/>
            </w:tcBorders>
          </w:tcPr>
          <w:p>
            <w:pPr>
              <w:pStyle w:val="0"/>
              <w:jc w:val="center"/>
            </w:pPr>
            <w:r>
              <w:rPr>
                <w:sz w:val="20"/>
              </w:rPr>
              <w:t xml:space="preserve">18</w:t>
            </w:r>
          </w:p>
        </w:tc>
      </w:tr>
      <w:tr>
        <w:tc>
          <w:tcPr>
            <w:tcW w:w="1383" w:type="dxa"/>
            <w:tcBorders>
              <w:left w:val="nil"/>
            </w:tcBorders>
            <w:vMerge w:val="restart"/>
          </w:tcPr>
          <w:p>
            <w:pPr>
              <w:pStyle w:val="0"/>
            </w:pPr>
            <w:r>
              <w:rPr>
                <w:sz w:val="20"/>
              </w:rPr>
            </w:r>
          </w:p>
        </w:tc>
        <w:tc>
          <w:tcPr>
            <w:tcW w:w="1132" w:type="dxa"/>
            <w:vMerge w:val="restart"/>
          </w:tcPr>
          <w:p>
            <w:pPr>
              <w:pStyle w:val="0"/>
            </w:pPr>
            <w:r>
              <w:rPr>
                <w:sz w:val="20"/>
              </w:rPr>
            </w:r>
          </w:p>
        </w:tc>
        <w:tc>
          <w:tcPr>
            <w:tcW w:w="852" w:type="dxa"/>
            <w:vMerge w:val="restart"/>
          </w:tcPr>
          <w:p>
            <w:pPr>
              <w:pStyle w:val="0"/>
            </w:pPr>
            <w:r>
              <w:rPr>
                <w:sz w:val="20"/>
              </w:rPr>
            </w:r>
          </w:p>
        </w:tc>
        <w:tc>
          <w:tcPr>
            <w:tcW w:w="850" w:type="dxa"/>
            <w:vMerge w:val="restart"/>
          </w:tcPr>
          <w:p>
            <w:pPr>
              <w:pStyle w:val="0"/>
            </w:pPr>
            <w:r>
              <w:rPr>
                <w:sz w:val="20"/>
              </w:rPr>
            </w:r>
          </w:p>
        </w:tc>
        <w:tc>
          <w:tcPr>
            <w:tcW w:w="711" w:type="dxa"/>
            <w:vMerge w:val="restart"/>
          </w:tcPr>
          <w:p>
            <w:pPr>
              <w:pStyle w:val="0"/>
            </w:pPr>
            <w:r>
              <w:rPr>
                <w:sz w:val="20"/>
              </w:rPr>
            </w: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tcW w:w="1132" w:type="dxa"/>
            <w:vMerge w:val="restart"/>
          </w:tcPr>
          <w:p>
            <w:pPr>
              <w:pStyle w:val="0"/>
            </w:pPr>
            <w:r>
              <w:rPr>
                <w:sz w:val="20"/>
              </w:rPr>
            </w:r>
          </w:p>
        </w:tc>
        <w:tc>
          <w:tcPr>
            <w:tcW w:w="852" w:type="dxa"/>
            <w:vMerge w:val="restart"/>
          </w:tcPr>
          <w:p>
            <w:pPr>
              <w:pStyle w:val="0"/>
            </w:pPr>
            <w:r>
              <w:rPr>
                <w:sz w:val="20"/>
              </w:rPr>
            </w:r>
          </w:p>
        </w:tc>
        <w:tc>
          <w:tcPr>
            <w:tcW w:w="850" w:type="dxa"/>
            <w:vMerge w:val="restart"/>
          </w:tcPr>
          <w:p>
            <w:pPr>
              <w:pStyle w:val="0"/>
            </w:pPr>
            <w:r>
              <w:rPr>
                <w:sz w:val="20"/>
              </w:rPr>
            </w:r>
          </w:p>
        </w:tc>
        <w:tc>
          <w:tcPr>
            <w:tcW w:w="711" w:type="dxa"/>
            <w:vMerge w:val="restart"/>
          </w:tcPr>
          <w:p>
            <w:pPr>
              <w:pStyle w:val="0"/>
            </w:pPr>
            <w:r>
              <w:rPr>
                <w:sz w:val="20"/>
              </w:rPr>
            </w: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W w:w="1383" w:type="dxa"/>
            <w:tcBorders>
              <w:left w:val="nil"/>
            </w:tcBorders>
            <w:vMerge w:val="restart"/>
          </w:tcPr>
          <w:p>
            <w:pPr>
              <w:pStyle w:val="0"/>
            </w:pPr>
            <w:r>
              <w:rPr>
                <w:sz w:val="20"/>
              </w:rPr>
            </w:r>
          </w:p>
        </w:tc>
        <w:tc>
          <w:tcPr>
            <w:tcW w:w="1132" w:type="dxa"/>
            <w:vMerge w:val="restart"/>
          </w:tcPr>
          <w:p>
            <w:pPr>
              <w:pStyle w:val="0"/>
            </w:pPr>
            <w:r>
              <w:rPr>
                <w:sz w:val="20"/>
              </w:rPr>
            </w:r>
          </w:p>
        </w:tc>
        <w:tc>
          <w:tcPr>
            <w:tcW w:w="852" w:type="dxa"/>
            <w:vMerge w:val="restart"/>
          </w:tcPr>
          <w:p>
            <w:pPr>
              <w:pStyle w:val="0"/>
            </w:pPr>
            <w:r>
              <w:rPr>
                <w:sz w:val="20"/>
              </w:rPr>
            </w:r>
          </w:p>
        </w:tc>
        <w:tc>
          <w:tcPr>
            <w:tcW w:w="850" w:type="dxa"/>
            <w:vMerge w:val="restart"/>
          </w:tcPr>
          <w:p>
            <w:pPr>
              <w:pStyle w:val="0"/>
            </w:pPr>
            <w:r>
              <w:rPr>
                <w:sz w:val="20"/>
              </w:rPr>
            </w:r>
          </w:p>
        </w:tc>
        <w:tc>
          <w:tcPr>
            <w:tcW w:w="711" w:type="dxa"/>
            <w:vMerge w:val="restart"/>
          </w:tcPr>
          <w:p>
            <w:pPr>
              <w:pStyle w:val="0"/>
            </w:pPr>
            <w:r>
              <w:rPr>
                <w:sz w:val="20"/>
              </w:rPr>
            </w: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tcW w:w="1132" w:type="dxa"/>
            <w:vMerge w:val="restart"/>
          </w:tcPr>
          <w:p>
            <w:pPr>
              <w:pStyle w:val="0"/>
            </w:pPr>
            <w:r>
              <w:rPr>
                <w:sz w:val="20"/>
              </w:rPr>
            </w:r>
          </w:p>
        </w:tc>
        <w:tc>
          <w:tcPr>
            <w:tcW w:w="852" w:type="dxa"/>
            <w:vMerge w:val="restart"/>
          </w:tcPr>
          <w:p>
            <w:pPr>
              <w:pStyle w:val="0"/>
            </w:pPr>
            <w:r>
              <w:rPr>
                <w:sz w:val="20"/>
              </w:rPr>
            </w:r>
          </w:p>
        </w:tc>
        <w:tc>
          <w:tcPr>
            <w:tcW w:w="850" w:type="dxa"/>
            <w:vMerge w:val="restart"/>
          </w:tcPr>
          <w:p>
            <w:pPr>
              <w:pStyle w:val="0"/>
            </w:pPr>
            <w:r>
              <w:rPr>
                <w:sz w:val="20"/>
              </w:rPr>
            </w:r>
          </w:p>
        </w:tc>
        <w:tc>
          <w:tcPr>
            <w:tcW w:w="711" w:type="dxa"/>
            <w:vMerge w:val="restart"/>
          </w:tcPr>
          <w:p>
            <w:pPr>
              <w:pStyle w:val="0"/>
            </w:pPr>
            <w:r>
              <w:rPr>
                <w:sz w:val="20"/>
              </w:rPr>
            </w: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bl>
    <w:p>
      <w:pPr>
        <w:sectPr>
          <w:headerReference w:type="default" r:id="rId56"/>
          <w:headerReference w:type="first" r:id="rId56"/>
          <w:footerReference w:type="default" r:id="rId57"/>
          <w:footerReference w:type="first" r:id="rId57"/>
          <w:pgSz w:w="16838" w:h="11906" w:orient="landscape"/>
          <w:pgMar w:top="1133" w:right="397" w:bottom="566" w:left="397" w:header="0" w:footer="0" w:gutter="0"/>
          <w:titlePg/>
        </w:sectPr>
      </w:pPr>
    </w:p>
    <w:p>
      <w:pPr>
        <w:pStyle w:val="0"/>
        <w:jc w:val="both"/>
      </w:pPr>
      <w:r>
        <w:rPr>
          <w:sz w:val="20"/>
        </w:rPr>
      </w:r>
    </w:p>
    <w:p>
      <w:pPr>
        <w:pStyle w:val="1"/>
        <w:jc w:val="both"/>
      </w:pPr>
      <w:r>
        <w:rPr>
          <w:sz w:val="20"/>
        </w:rPr>
        <w:t xml:space="preserve">               Часть II. Сведения о выполняемых работах </w:t>
      </w:r>
      <w:hyperlink w:history="0" w:anchor="P1256" w:tooltip="&lt;4&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
        <w:r>
          <w:rPr>
            <w:sz w:val="20"/>
            <w:color w:val="0000ff"/>
          </w:rPr>
          <w:t xml:space="preserve">&lt;4&gt;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1814"/>
        <w:gridCol w:w="1077"/>
        <w:gridCol w:w="3402"/>
        <w:gridCol w:w="1587"/>
        <w:gridCol w:w="1134"/>
      </w:tblGrid>
      <w:tr>
        <w:tblPrEx>
          <w:tblBorders>
            <w:right w:val="single" w:sz="4"/>
          </w:tblBorders>
        </w:tblPrEx>
        <w:tc>
          <w:tcPr>
            <w:tcW w:w="1814" w:type="dxa"/>
            <w:vAlign w:val="bottom"/>
            <w:tcBorders>
              <w:top w:val="nil"/>
              <w:left w:val="nil"/>
              <w:bottom w:val="nil"/>
              <w:right w:val="nil"/>
            </w:tcBorders>
          </w:tcPr>
          <w:p>
            <w:pPr>
              <w:pStyle w:val="0"/>
            </w:pPr>
            <w:r>
              <w:rPr>
                <w:sz w:val="20"/>
              </w:rPr>
              <w:t xml:space="preserve">1. Наименование работы</w:t>
            </w:r>
          </w:p>
        </w:tc>
        <w:tc>
          <w:tcPr>
            <w:gridSpan w:val="2"/>
            <w:tcW w:w="4479" w:type="dxa"/>
            <w:vAlign w:val="bottom"/>
            <w:tcBorders>
              <w:top w:val="nil"/>
              <w:left w:val="nil"/>
              <w:bottom w:val="single" w:sz="4"/>
              <w:right w:val="nil"/>
            </w:tcBorders>
          </w:tcPr>
          <w:p>
            <w:pPr>
              <w:pStyle w:val="0"/>
            </w:pPr>
            <w:r>
              <w:rPr>
                <w:sz w:val="20"/>
              </w:rPr>
            </w:r>
          </w:p>
        </w:tc>
        <w:tc>
          <w:tcPr>
            <w:tcW w:w="1587" w:type="dxa"/>
            <w:tcBorders>
              <w:top w:val="nil"/>
              <w:left w:val="nil"/>
              <w:bottom w:val="nil"/>
              <w:right w:val="nil"/>
            </w:tcBorders>
            <w:vMerge w:val="restart"/>
          </w:tcPr>
          <w:p>
            <w:pPr>
              <w:pStyle w:val="0"/>
              <w:jc w:val="right"/>
            </w:pPr>
            <w:r>
              <w:rPr>
                <w:sz w:val="20"/>
              </w:rPr>
              <w:t xml:space="preserve">Код по федеральному перечню</w:t>
            </w:r>
          </w:p>
        </w:tc>
        <w:tc>
          <w:tcPr>
            <w:tcW w:w="1134" w:type="dxa"/>
            <w:vAlign w:val="bottom"/>
            <w:tcBorders>
              <w:top w:val="single" w:sz="4"/>
              <w:left w:val="single" w:sz="4"/>
              <w:bottom w:val="single" w:sz="4"/>
              <w:right w:val="single" w:sz="4"/>
            </w:tcBorders>
            <w:vMerge w:val="restart"/>
          </w:tcPr>
          <w:p>
            <w:pPr>
              <w:pStyle w:val="0"/>
            </w:pPr>
            <w:r>
              <w:rPr>
                <w:sz w:val="20"/>
              </w:rPr>
            </w:r>
          </w:p>
        </w:tc>
      </w:tr>
      <w:tr>
        <w:tblPrEx>
          <w:tblBorders>
            <w:right w:val="single" w:sz="4"/>
            <w:insideH w:val="single" w:sz="4"/>
          </w:tblBorders>
        </w:tblPrEx>
        <w:tc>
          <w:tcPr>
            <w:tcW w:w="1814" w:type="dxa"/>
            <w:vAlign w:val="bottom"/>
            <w:tcBorders>
              <w:top w:val="nil"/>
              <w:left w:val="nil"/>
              <w:bottom w:val="nil"/>
              <w:right w:val="nil"/>
            </w:tcBorders>
          </w:tcPr>
          <w:p>
            <w:pPr>
              <w:pStyle w:val="0"/>
            </w:pPr>
            <w:r>
              <w:rPr>
                <w:sz w:val="20"/>
              </w:rPr>
            </w:r>
          </w:p>
        </w:tc>
        <w:tc>
          <w:tcPr>
            <w:gridSpan w:val="2"/>
            <w:tcW w:w="4479" w:type="dxa"/>
            <w:vAlign w:val="bottom"/>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Borders>
              <w:top w:val="single" w:sz="4"/>
              <w:left w:val="single" w:sz="4"/>
              <w:bottom w:val="single" w:sz="4"/>
              <w:right w:val="single" w:sz="4"/>
            </w:tcBorders>
            <w:vMerge w:val="continue"/>
          </w:tcPr>
          <w:p/>
        </w:tc>
      </w:tr>
      <w:tr>
        <w:tc>
          <w:tcPr>
            <w:gridSpan w:val="2"/>
            <w:tcW w:w="2891" w:type="dxa"/>
            <w:vAlign w:val="center"/>
            <w:tcBorders>
              <w:top w:val="nil"/>
              <w:left w:val="nil"/>
              <w:bottom w:val="nil"/>
              <w:right w:val="nil"/>
            </w:tcBorders>
          </w:tcPr>
          <w:p>
            <w:pPr>
              <w:pStyle w:val="0"/>
            </w:pPr>
            <w:r>
              <w:rPr>
                <w:sz w:val="20"/>
              </w:rPr>
              <w:t xml:space="preserve">2. Категории потребителей работы</w:t>
            </w:r>
          </w:p>
        </w:tc>
        <w:tc>
          <w:tcPr>
            <w:tcW w:w="3402" w:type="dxa"/>
            <w:vAlign w:val="center"/>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W w:w="1134" w:type="dxa"/>
            <w:vAlign w:val="center"/>
            <w:tcBorders>
              <w:top w:val="single" w:sz="4"/>
              <w:left w:val="nil"/>
              <w:bottom w:val="nil"/>
              <w:right w:val="nil"/>
            </w:tcBorders>
          </w:tcPr>
          <w:p>
            <w:pPr>
              <w:pStyle w:val="0"/>
            </w:pPr>
            <w:r>
              <w:rPr>
                <w:sz w:val="20"/>
              </w:rPr>
            </w:r>
          </w:p>
        </w:tc>
      </w:tr>
      <w:tr>
        <w:tc>
          <w:tcPr>
            <w:gridSpan w:val="2"/>
            <w:tcW w:w="2891" w:type="dxa"/>
            <w:vAlign w:val="center"/>
            <w:tcBorders>
              <w:top w:val="nil"/>
              <w:left w:val="nil"/>
              <w:bottom w:val="nil"/>
              <w:right w:val="nil"/>
            </w:tcBorders>
          </w:tcPr>
          <w:p>
            <w:pPr>
              <w:pStyle w:val="0"/>
            </w:pPr>
            <w:r>
              <w:rPr>
                <w:sz w:val="20"/>
              </w:rPr>
            </w:r>
          </w:p>
        </w:tc>
        <w:tc>
          <w:tcPr>
            <w:tcW w:w="3402" w:type="dxa"/>
            <w:vAlign w:val="center"/>
            <w:tcBorders>
              <w:top w:val="single" w:sz="4"/>
              <w:left w:val="nil"/>
              <w:bottom w:val="single" w:sz="4"/>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134" w:type="dxa"/>
            <w:vAlign w:val="center"/>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Показатели, характеризующие объем работы </w:t>
      </w:r>
      <w:hyperlink w:history="0" w:anchor="P1257" w:tooltip="&lt;5&gt; Заполняется в соответствии с государственным заданием.">
        <w:r>
          <w:rPr>
            <w:sz w:val="20"/>
            <w:color w:val="0000ff"/>
          </w:rPr>
          <w:t xml:space="preserve">&lt;5&gt;</w:t>
        </w:r>
      </w:hyperlink>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964"/>
        <w:gridCol w:w="1123"/>
        <w:gridCol w:w="657"/>
        <w:gridCol w:w="657"/>
        <w:gridCol w:w="657"/>
        <w:gridCol w:w="850"/>
        <w:gridCol w:w="907"/>
        <w:gridCol w:w="702"/>
        <w:gridCol w:w="844"/>
        <w:gridCol w:w="703"/>
        <w:gridCol w:w="983"/>
        <w:gridCol w:w="1077"/>
        <w:gridCol w:w="1020"/>
        <w:gridCol w:w="969"/>
        <w:gridCol w:w="1077"/>
        <w:gridCol w:w="1020"/>
        <w:gridCol w:w="824"/>
        <w:gridCol w:w="825"/>
      </w:tblGrid>
      <w:tr>
        <w:tc>
          <w:tcPr>
            <w:tcW w:w="964" w:type="dxa"/>
            <w:tcBorders>
              <w:left w:val="nil"/>
            </w:tcBorders>
            <w:vMerge w:val="restart"/>
          </w:tcPr>
          <w:p>
            <w:pPr>
              <w:pStyle w:val="0"/>
              <w:jc w:val="center"/>
            </w:pPr>
            <w:r>
              <w:rPr>
                <w:sz w:val="20"/>
              </w:rPr>
              <w:t xml:space="preserve">Наименование обособленного подразделения</w:t>
            </w:r>
          </w:p>
        </w:tc>
        <w:tc>
          <w:tcPr>
            <w:tcW w:w="1123" w:type="dxa"/>
            <w:vMerge w:val="restart"/>
          </w:tcPr>
          <w:p>
            <w:pPr>
              <w:pStyle w:val="0"/>
              <w:jc w:val="center"/>
            </w:pPr>
            <w:r>
              <w:rPr>
                <w:sz w:val="20"/>
              </w:rPr>
              <w:t xml:space="preserve">Уникальный номер реестровой записи</w:t>
            </w:r>
          </w:p>
        </w:tc>
        <w:tc>
          <w:tcPr>
            <w:gridSpan w:val="3"/>
            <w:tcW w:w="1971" w:type="dxa"/>
            <w:vMerge w:val="restart"/>
          </w:tcPr>
          <w:p>
            <w:pPr>
              <w:pStyle w:val="0"/>
              <w:jc w:val="center"/>
            </w:pPr>
            <w:r>
              <w:rPr>
                <w:sz w:val="20"/>
              </w:rPr>
              <w:t xml:space="preserve">Показатель, характеризующий содержание работы</w:t>
            </w:r>
          </w:p>
        </w:tc>
        <w:tc>
          <w:tcPr>
            <w:gridSpan w:val="2"/>
            <w:tcW w:w="1757" w:type="dxa"/>
            <w:vMerge w:val="restart"/>
          </w:tcPr>
          <w:p>
            <w:pPr>
              <w:pStyle w:val="0"/>
              <w:jc w:val="center"/>
            </w:pPr>
            <w:r>
              <w:rPr>
                <w:sz w:val="20"/>
              </w:rPr>
              <w:t xml:space="preserve">Показатель, характеризующий условия (формы) выполнения работы</w:t>
            </w:r>
          </w:p>
        </w:tc>
        <w:tc>
          <w:tcPr>
            <w:gridSpan w:val="3"/>
            <w:tcW w:w="2249" w:type="dxa"/>
          </w:tcPr>
          <w:p>
            <w:pPr>
              <w:pStyle w:val="0"/>
              <w:jc w:val="center"/>
            </w:pPr>
            <w:r>
              <w:rPr>
                <w:sz w:val="20"/>
              </w:rPr>
              <w:t xml:space="preserve">Показатель объема работы</w:t>
            </w:r>
          </w:p>
        </w:tc>
        <w:tc>
          <w:tcPr>
            <w:gridSpan w:val="3"/>
            <w:tcW w:w="3080" w:type="dxa"/>
          </w:tcPr>
          <w:p>
            <w:pPr>
              <w:pStyle w:val="0"/>
              <w:jc w:val="center"/>
            </w:pPr>
            <w:r>
              <w:rPr>
                <w:sz w:val="20"/>
              </w:rPr>
              <w:t xml:space="preserve">Значение показателя объема работы</w:t>
            </w:r>
          </w:p>
        </w:tc>
        <w:tc>
          <w:tcPr>
            <w:gridSpan w:val="3"/>
            <w:tcW w:w="3066" w:type="dxa"/>
          </w:tcPr>
          <w:p>
            <w:pPr>
              <w:pStyle w:val="0"/>
              <w:jc w:val="center"/>
            </w:pPr>
            <w:r>
              <w:rPr>
                <w:sz w:val="20"/>
              </w:rPr>
              <w:t xml:space="preserve">Размер платы (цена, тариф)</w:t>
            </w:r>
          </w:p>
        </w:tc>
        <w:tc>
          <w:tcPr>
            <w:gridSpan w:val="2"/>
            <w:tcW w:w="1649" w:type="dxa"/>
            <w:tcBorders>
              <w:right w:val="nil"/>
            </w:tcBorders>
          </w:tcPr>
          <w:p>
            <w:pPr>
              <w:pStyle w:val="0"/>
              <w:jc w:val="center"/>
            </w:pPr>
            <w:r>
              <w:rPr>
                <w:sz w:val="20"/>
              </w:rPr>
              <w:t xml:space="preserve">Допустимые (возможные) отклонения от установленных показателей объема работы</w:t>
            </w:r>
          </w:p>
        </w:tc>
      </w:tr>
      <w:tr>
        <w:tc>
          <w:tcPr>
            <w:tcBorders>
              <w:left w:val="nil"/>
            </w:tcBorders>
            <w:vMerge w:val="continue"/>
          </w:tcPr>
          <w:p/>
        </w:tc>
        <w:tc>
          <w:tcPr>
            <w:vMerge w:val="continue"/>
          </w:tcPr>
          <w:p/>
        </w:tc>
        <w:tc>
          <w:tcPr>
            <w:gridSpan w:val="3"/>
            <w:vMerge w:val="continue"/>
          </w:tcPr>
          <w:p/>
        </w:tc>
        <w:tc>
          <w:tcPr>
            <w:gridSpan w:val="2"/>
            <w:vMerge w:val="continue"/>
          </w:tcPr>
          <w:p/>
        </w:tc>
        <w:tc>
          <w:tcPr>
            <w:tcW w:w="702" w:type="dxa"/>
            <w:vMerge w:val="restart"/>
          </w:tcPr>
          <w:p>
            <w:pPr>
              <w:pStyle w:val="0"/>
              <w:jc w:val="center"/>
            </w:pPr>
            <w:r>
              <w:rPr>
                <w:sz w:val="20"/>
              </w:rPr>
              <w:t xml:space="preserve">наименование показателя</w:t>
            </w:r>
          </w:p>
        </w:tc>
        <w:tc>
          <w:tcPr>
            <w:gridSpan w:val="2"/>
            <w:tcW w:w="1547" w:type="dxa"/>
          </w:tcPr>
          <w:p>
            <w:pPr>
              <w:pStyle w:val="0"/>
              <w:jc w:val="center"/>
            </w:pPr>
            <w:r>
              <w:rPr>
                <w:sz w:val="20"/>
              </w:rPr>
              <w:t xml:space="preserve">единица измерения</w:t>
            </w:r>
          </w:p>
        </w:tc>
        <w:tc>
          <w:tcPr>
            <w:tcW w:w="983"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1077"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1020"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969"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1077"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1020"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824" w:type="dxa"/>
            <w:vMerge w:val="restart"/>
          </w:tcPr>
          <w:p>
            <w:pPr>
              <w:pStyle w:val="0"/>
              <w:jc w:val="center"/>
            </w:pPr>
            <w:r>
              <w:rPr>
                <w:sz w:val="20"/>
              </w:rPr>
              <w:t xml:space="preserve">в процентах</w:t>
            </w:r>
          </w:p>
        </w:tc>
        <w:tc>
          <w:tcPr>
            <w:tcW w:w="825"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gridSpan w:val="3"/>
            <w:vMerge w:val="continue"/>
          </w:tcPr>
          <w:p/>
        </w:tc>
        <w:tc>
          <w:tcPr>
            <w:gridSpan w:val="2"/>
            <w:vMerge w:val="continue"/>
          </w:tcPr>
          <w:p/>
        </w:tc>
        <w:tc>
          <w:tcPr>
            <w:vMerge w:val="continue"/>
          </w:tcPr>
          <w:p/>
        </w:tc>
        <w:tc>
          <w:tcPr>
            <w:tcW w:w="844" w:type="dxa"/>
            <w:vMerge w:val="restart"/>
          </w:tcPr>
          <w:p>
            <w:pPr>
              <w:pStyle w:val="0"/>
              <w:jc w:val="center"/>
            </w:pPr>
            <w:r>
              <w:rPr>
                <w:sz w:val="20"/>
              </w:rPr>
              <w:t xml:space="preserve">наименование</w:t>
            </w:r>
          </w:p>
        </w:tc>
        <w:tc>
          <w:tcPr>
            <w:tcW w:w="703" w:type="dxa"/>
            <w:vMerge w:val="restart"/>
          </w:tcPr>
          <w:p>
            <w:pPr>
              <w:pStyle w:val="0"/>
              <w:jc w:val="center"/>
            </w:pPr>
            <w:r>
              <w:rPr>
                <w:sz w:val="20"/>
              </w:rPr>
              <w:t xml:space="preserve">код по </w:t>
            </w:r>
            <w:hyperlink w:history="0" r:id="rId6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vMerge w:val="continue"/>
          </w:tcPr>
          <w:p/>
        </w:tc>
        <w:tc>
          <w:tcPr>
            <w:tcW w:w="657" w:type="dxa"/>
          </w:tcPr>
          <w:p>
            <w:pPr>
              <w:pStyle w:val="0"/>
              <w:jc w:val="center"/>
            </w:pPr>
            <w:r>
              <w:rPr>
                <w:sz w:val="20"/>
              </w:rPr>
              <w:t xml:space="preserve">наименование показателя</w:t>
            </w:r>
          </w:p>
        </w:tc>
        <w:tc>
          <w:tcPr>
            <w:tcW w:w="657" w:type="dxa"/>
          </w:tcPr>
          <w:p>
            <w:pPr>
              <w:pStyle w:val="0"/>
              <w:jc w:val="center"/>
            </w:pPr>
            <w:r>
              <w:rPr>
                <w:sz w:val="20"/>
              </w:rPr>
              <w:t xml:space="preserve">наименование показателя</w:t>
            </w:r>
          </w:p>
        </w:tc>
        <w:tc>
          <w:tcPr>
            <w:tcW w:w="657" w:type="dxa"/>
          </w:tcPr>
          <w:p>
            <w:pPr>
              <w:pStyle w:val="0"/>
              <w:jc w:val="center"/>
            </w:pPr>
            <w:r>
              <w:rPr>
                <w:sz w:val="20"/>
              </w:rPr>
              <w:t xml:space="preserve">наименование показателя</w:t>
            </w:r>
          </w:p>
        </w:tc>
        <w:tc>
          <w:tcPr>
            <w:tcW w:w="850" w:type="dxa"/>
          </w:tcPr>
          <w:p>
            <w:pPr>
              <w:pStyle w:val="0"/>
              <w:jc w:val="center"/>
            </w:pPr>
            <w:r>
              <w:rPr>
                <w:sz w:val="20"/>
              </w:rPr>
              <w:t xml:space="preserve">наименование показателя</w:t>
            </w:r>
          </w:p>
        </w:tc>
        <w:tc>
          <w:tcPr>
            <w:tcW w:w="907" w:type="dxa"/>
          </w:tcPr>
          <w:p>
            <w:pPr>
              <w:pStyle w:val="0"/>
              <w:jc w:val="center"/>
            </w:pPr>
            <w:r>
              <w:rPr>
                <w:sz w:val="20"/>
              </w:rPr>
              <w:t xml:space="preserve">наименование показателя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964" w:type="dxa"/>
            <w:tcBorders>
              <w:left w:val="nil"/>
            </w:tcBorders>
          </w:tcPr>
          <w:p>
            <w:pPr>
              <w:pStyle w:val="0"/>
              <w:jc w:val="center"/>
            </w:pPr>
            <w:r>
              <w:rPr>
                <w:sz w:val="20"/>
              </w:rPr>
              <w:t xml:space="preserve">1</w:t>
            </w:r>
          </w:p>
        </w:tc>
        <w:tc>
          <w:tcPr>
            <w:tcW w:w="1123" w:type="dxa"/>
          </w:tcPr>
          <w:p>
            <w:pPr>
              <w:pStyle w:val="0"/>
              <w:jc w:val="center"/>
            </w:pPr>
            <w:r>
              <w:rPr>
                <w:sz w:val="20"/>
              </w:rPr>
              <w:t xml:space="preserve">2</w:t>
            </w:r>
          </w:p>
        </w:tc>
        <w:tc>
          <w:tcPr>
            <w:tcW w:w="657" w:type="dxa"/>
          </w:tcPr>
          <w:p>
            <w:pPr>
              <w:pStyle w:val="0"/>
              <w:jc w:val="center"/>
            </w:pPr>
            <w:r>
              <w:rPr>
                <w:sz w:val="20"/>
              </w:rPr>
              <w:t xml:space="preserve">3</w:t>
            </w:r>
          </w:p>
        </w:tc>
        <w:tc>
          <w:tcPr>
            <w:tcW w:w="657" w:type="dxa"/>
          </w:tcPr>
          <w:p>
            <w:pPr>
              <w:pStyle w:val="0"/>
              <w:jc w:val="center"/>
            </w:pPr>
            <w:r>
              <w:rPr>
                <w:sz w:val="20"/>
              </w:rPr>
              <w:t xml:space="preserve">4</w:t>
            </w:r>
          </w:p>
        </w:tc>
        <w:tc>
          <w:tcPr>
            <w:tcW w:w="657" w:type="dxa"/>
          </w:tcPr>
          <w:p>
            <w:pPr>
              <w:pStyle w:val="0"/>
              <w:jc w:val="center"/>
            </w:pPr>
            <w:r>
              <w:rPr>
                <w:sz w:val="20"/>
              </w:rPr>
              <w:t xml:space="preserve">5</w:t>
            </w:r>
          </w:p>
        </w:tc>
        <w:tc>
          <w:tcPr>
            <w:tcW w:w="850" w:type="dxa"/>
          </w:tcPr>
          <w:p>
            <w:pPr>
              <w:pStyle w:val="0"/>
              <w:jc w:val="center"/>
            </w:pPr>
            <w:r>
              <w:rPr>
                <w:sz w:val="20"/>
              </w:rPr>
              <w:t xml:space="preserve">6</w:t>
            </w:r>
          </w:p>
        </w:tc>
        <w:tc>
          <w:tcPr>
            <w:tcW w:w="907" w:type="dxa"/>
          </w:tcPr>
          <w:p>
            <w:pPr>
              <w:pStyle w:val="0"/>
              <w:jc w:val="center"/>
            </w:pPr>
            <w:r>
              <w:rPr>
                <w:sz w:val="20"/>
              </w:rPr>
              <w:t xml:space="preserve">7</w:t>
            </w:r>
          </w:p>
        </w:tc>
        <w:tc>
          <w:tcPr>
            <w:tcW w:w="702" w:type="dxa"/>
          </w:tcPr>
          <w:p>
            <w:pPr>
              <w:pStyle w:val="0"/>
              <w:jc w:val="center"/>
            </w:pPr>
            <w:r>
              <w:rPr>
                <w:sz w:val="20"/>
              </w:rPr>
              <w:t xml:space="preserve">8</w:t>
            </w:r>
          </w:p>
        </w:tc>
        <w:tc>
          <w:tcPr>
            <w:tcW w:w="844" w:type="dxa"/>
          </w:tcPr>
          <w:p>
            <w:pPr>
              <w:pStyle w:val="0"/>
              <w:jc w:val="center"/>
            </w:pPr>
            <w:r>
              <w:rPr>
                <w:sz w:val="20"/>
              </w:rPr>
              <w:t xml:space="preserve">9</w:t>
            </w:r>
          </w:p>
        </w:tc>
        <w:tc>
          <w:tcPr>
            <w:tcW w:w="703" w:type="dxa"/>
          </w:tcPr>
          <w:p>
            <w:pPr>
              <w:pStyle w:val="0"/>
              <w:jc w:val="center"/>
            </w:pPr>
            <w:r>
              <w:rPr>
                <w:sz w:val="20"/>
              </w:rPr>
              <w:t xml:space="preserve">10</w:t>
            </w:r>
          </w:p>
        </w:tc>
        <w:tc>
          <w:tcPr>
            <w:tcW w:w="983" w:type="dxa"/>
          </w:tcPr>
          <w:p>
            <w:pPr>
              <w:pStyle w:val="0"/>
              <w:jc w:val="center"/>
            </w:pPr>
            <w:r>
              <w:rPr>
                <w:sz w:val="20"/>
              </w:rPr>
              <w:t xml:space="preserve">11</w:t>
            </w:r>
          </w:p>
        </w:tc>
        <w:tc>
          <w:tcPr>
            <w:tcW w:w="1077" w:type="dxa"/>
          </w:tcPr>
          <w:p>
            <w:pPr>
              <w:pStyle w:val="0"/>
              <w:jc w:val="center"/>
            </w:pPr>
            <w:r>
              <w:rPr>
                <w:sz w:val="20"/>
              </w:rPr>
              <w:t xml:space="preserve">12</w:t>
            </w:r>
          </w:p>
        </w:tc>
        <w:tc>
          <w:tcPr>
            <w:tcW w:w="1020" w:type="dxa"/>
          </w:tcPr>
          <w:p>
            <w:pPr>
              <w:pStyle w:val="0"/>
              <w:jc w:val="center"/>
            </w:pPr>
            <w:r>
              <w:rPr>
                <w:sz w:val="20"/>
              </w:rPr>
              <w:t xml:space="preserve">13</w:t>
            </w:r>
          </w:p>
        </w:tc>
        <w:tc>
          <w:tcPr>
            <w:tcW w:w="969" w:type="dxa"/>
          </w:tcPr>
          <w:p>
            <w:pPr>
              <w:pStyle w:val="0"/>
              <w:jc w:val="center"/>
            </w:pPr>
            <w:r>
              <w:rPr>
                <w:sz w:val="20"/>
              </w:rPr>
              <w:t xml:space="preserve">14</w:t>
            </w:r>
          </w:p>
        </w:tc>
        <w:tc>
          <w:tcPr>
            <w:tcW w:w="1077" w:type="dxa"/>
          </w:tcPr>
          <w:p>
            <w:pPr>
              <w:pStyle w:val="0"/>
              <w:jc w:val="center"/>
            </w:pPr>
            <w:r>
              <w:rPr>
                <w:sz w:val="20"/>
              </w:rPr>
              <w:t xml:space="preserve">15</w:t>
            </w:r>
          </w:p>
        </w:tc>
        <w:tc>
          <w:tcPr>
            <w:tcW w:w="1020" w:type="dxa"/>
          </w:tcPr>
          <w:p>
            <w:pPr>
              <w:pStyle w:val="0"/>
              <w:jc w:val="center"/>
            </w:pPr>
            <w:r>
              <w:rPr>
                <w:sz w:val="20"/>
              </w:rPr>
              <w:t xml:space="preserve">16</w:t>
            </w:r>
          </w:p>
        </w:tc>
        <w:tc>
          <w:tcPr>
            <w:tcW w:w="824" w:type="dxa"/>
          </w:tcPr>
          <w:p>
            <w:pPr>
              <w:pStyle w:val="0"/>
              <w:jc w:val="center"/>
            </w:pPr>
            <w:r>
              <w:rPr>
                <w:sz w:val="20"/>
              </w:rPr>
              <w:t xml:space="preserve">17</w:t>
            </w:r>
          </w:p>
        </w:tc>
        <w:tc>
          <w:tcPr>
            <w:tcW w:w="825" w:type="dxa"/>
            <w:tcBorders>
              <w:right w:val="nil"/>
            </w:tcBorders>
          </w:tcPr>
          <w:p>
            <w:pPr>
              <w:pStyle w:val="0"/>
              <w:jc w:val="center"/>
            </w:pPr>
            <w:r>
              <w:rPr>
                <w:sz w:val="20"/>
              </w:rPr>
              <w:t xml:space="preserve">18</w:t>
            </w:r>
          </w:p>
        </w:tc>
      </w:tr>
      <w:tr>
        <w:tc>
          <w:tcPr>
            <w:tcW w:w="964" w:type="dxa"/>
            <w:tcBorders>
              <w:left w:val="nil"/>
            </w:tcBorders>
            <w:vMerge w:val="restart"/>
          </w:tcPr>
          <w:p>
            <w:pPr>
              <w:pStyle w:val="0"/>
            </w:pPr>
            <w:r>
              <w:rPr>
                <w:sz w:val="20"/>
              </w:rPr>
            </w:r>
          </w:p>
        </w:tc>
        <w:tc>
          <w:tcPr>
            <w:tcW w:w="1123"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tcW w:w="1123"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W w:w="964" w:type="dxa"/>
            <w:tcBorders>
              <w:left w:val="nil"/>
            </w:tcBorders>
            <w:vMerge w:val="restart"/>
          </w:tcPr>
          <w:p>
            <w:pPr>
              <w:pStyle w:val="0"/>
            </w:pPr>
            <w:r>
              <w:rPr>
                <w:sz w:val="20"/>
              </w:rPr>
            </w:r>
          </w:p>
        </w:tc>
        <w:tc>
          <w:tcPr>
            <w:tcW w:w="1123"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tcW w:w="1123"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bl>
    <w:p>
      <w:pPr>
        <w:sectPr>
          <w:headerReference w:type="default" r:id="rId56"/>
          <w:headerReference w:type="first" r:id="rId56"/>
          <w:footerReference w:type="default" r:id="rId57"/>
          <w:footerReference w:type="first" r:id="rId57"/>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1253" w:name="P1253"/>
    <w:bookmarkEnd w:id="1253"/>
    <w:p>
      <w:pPr>
        <w:pStyle w:val="0"/>
        <w:spacing w:before="200" w:lineRule="auto"/>
        <w:ind w:firstLine="540"/>
        <w:jc w:val="both"/>
      </w:pPr>
      <w:r>
        <w:rPr>
          <w:sz w:val="20"/>
        </w:rPr>
        <w:t xml:space="preserve">&lt;1&gt; Номер распределения показателей объема государственных услуг (работ), содержащихся в государственном задании, присвоенный в системе "Электронный бюджет".</w:t>
      </w:r>
    </w:p>
    <w:bookmarkStart w:id="1254" w:name="P1254"/>
    <w:bookmarkEnd w:id="1254"/>
    <w:p>
      <w:pPr>
        <w:pStyle w:val="0"/>
        <w:spacing w:before="200" w:lineRule="auto"/>
        <w:ind w:firstLine="540"/>
        <w:jc w:val="both"/>
      </w:pPr>
      <w:r>
        <w:rPr>
          <w:sz w:val="20"/>
        </w:rPr>
        <w:t xml:space="preserve">&lt;2&gt; Номер государственного задания, присвоенный в системе "Электронный бюджет".</w:t>
      </w:r>
    </w:p>
    <w:bookmarkStart w:id="1255" w:name="P1255"/>
    <w:bookmarkEnd w:id="1255"/>
    <w:p>
      <w:pPr>
        <w:pStyle w:val="0"/>
        <w:spacing w:before="200" w:lineRule="auto"/>
        <w:ind w:firstLine="540"/>
        <w:jc w:val="both"/>
      </w:pPr>
      <w:r>
        <w:rPr>
          <w:sz w:val="20"/>
        </w:rPr>
        <w:t xml:space="preserve">&lt;3&gt; Заполняется в случае досрочного прекращения выполнения распределения показателей объема государственных услуг (работ), содержащихся в государственном задании, утвержденного обособленному подразделению.</w:t>
      </w:r>
    </w:p>
    <w:bookmarkStart w:id="1256" w:name="P1256"/>
    <w:bookmarkEnd w:id="1256"/>
    <w:p>
      <w:pPr>
        <w:pStyle w:val="0"/>
        <w:spacing w:before="200" w:lineRule="auto"/>
        <w:ind w:firstLine="540"/>
        <w:jc w:val="both"/>
      </w:pPr>
      <w:r>
        <w:rPr>
          <w:sz w:val="20"/>
        </w:rPr>
        <w:t xml:space="preserve">&lt;4&gt;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w:t>
      </w:r>
    </w:p>
    <w:bookmarkStart w:id="1257" w:name="P1257"/>
    <w:bookmarkEnd w:id="1257"/>
    <w:p>
      <w:pPr>
        <w:pStyle w:val="0"/>
        <w:spacing w:before="200" w:lineRule="auto"/>
        <w:ind w:firstLine="540"/>
        <w:jc w:val="both"/>
      </w:pPr>
      <w:r>
        <w:rPr>
          <w:sz w:val="20"/>
        </w:rPr>
        <w:t xml:space="preserve">&lt;5&gt; Заполняется в соответствии с государственным заданием.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формировании</w:t>
      </w:r>
    </w:p>
    <w:p>
      <w:pPr>
        <w:pStyle w:val="0"/>
        <w:jc w:val="right"/>
      </w:pPr>
      <w:r>
        <w:rPr>
          <w:sz w:val="20"/>
        </w:rPr>
        <w:t xml:space="preserve">государственного задания на оказание</w:t>
      </w:r>
    </w:p>
    <w:p>
      <w:pPr>
        <w:pStyle w:val="0"/>
        <w:jc w:val="right"/>
      </w:pPr>
      <w:r>
        <w:rPr>
          <w:sz w:val="20"/>
        </w:rPr>
        <w:t xml:space="preserve">государственных услуг (выполнение</w:t>
      </w:r>
    </w:p>
    <w:p>
      <w:pPr>
        <w:pStyle w:val="0"/>
        <w:jc w:val="right"/>
      </w:pPr>
      <w:r>
        <w:rPr>
          <w:sz w:val="20"/>
        </w:rPr>
        <w:t xml:space="preserve">работ) в отношении федеральных</w:t>
      </w:r>
    </w:p>
    <w:p>
      <w:pPr>
        <w:pStyle w:val="0"/>
        <w:jc w:val="right"/>
      </w:pPr>
      <w:r>
        <w:rPr>
          <w:sz w:val="20"/>
        </w:rPr>
        <w:t xml:space="preserve">государственных учреждений</w:t>
      </w:r>
    </w:p>
    <w:p>
      <w:pPr>
        <w:pStyle w:val="0"/>
        <w:jc w:val="right"/>
      </w:pPr>
      <w:r>
        <w:rPr>
          <w:sz w:val="20"/>
        </w:rPr>
        <w:t xml:space="preserve">и финансовом обеспечении выполнения</w:t>
      </w:r>
    </w:p>
    <w:p>
      <w:pPr>
        <w:pStyle w:val="0"/>
        <w:jc w:val="right"/>
      </w:pPr>
      <w:r>
        <w:rPr>
          <w:sz w:val="20"/>
        </w:rPr>
        <w:t xml:space="preserve">государственного задания</w:t>
      </w:r>
    </w:p>
    <w:p>
      <w:pPr>
        <w:pStyle w:val="0"/>
        <w:jc w:val="center"/>
      </w:pPr>
      <w:r>
        <w:rPr>
          <w:sz w:val="20"/>
        </w:rPr>
      </w:r>
    </w:p>
    <w:bookmarkStart w:id="1272" w:name="P1272"/>
    <w:bookmarkEnd w:id="1272"/>
    <w:p>
      <w:pPr>
        <w:pStyle w:val="1"/>
        <w:jc w:val="both"/>
      </w:pPr>
      <w:r>
        <w:rPr>
          <w:sz w:val="20"/>
        </w:rPr>
        <w:t xml:space="preserve">                           ОТЧЕТ О ВЫПОЛНЕНИИ</w:t>
      </w:r>
    </w:p>
    <w:p>
      <w:pPr>
        <w:pStyle w:val="1"/>
        <w:jc w:val="both"/>
      </w:pPr>
      <w:r>
        <w:rPr>
          <w:sz w:val="20"/>
        </w:rPr>
        <w:t xml:space="preserve">                                                    ┌─────┐</w:t>
      </w:r>
    </w:p>
    <w:p>
      <w:pPr>
        <w:pStyle w:val="1"/>
        <w:jc w:val="both"/>
      </w:pPr>
      <w:r>
        <w:rPr>
          <w:sz w:val="20"/>
        </w:rPr>
        <w:t xml:space="preserve">                 ГОСУДАРСТВЕННОГО ЗАДАНИЯ N </w:t>
      </w:r>
      <w:hyperlink w:history="0" w:anchor="P1818" w:tooltip="&lt;1&gt; Указывается номер государственного задания, по которому формируется отчет.">
        <w:r>
          <w:rPr>
            <w:sz w:val="20"/>
            <w:color w:val="0000ff"/>
          </w:rPr>
          <w:t xml:space="preserve">&lt;1&gt;</w:t>
        </w:r>
      </w:hyperlink>
      <w:r>
        <w:rPr>
          <w:sz w:val="20"/>
        </w:rPr>
        <w:t xml:space="preserve">     │     │</w:t>
      </w:r>
    </w:p>
    <w:p>
      <w:pPr>
        <w:pStyle w:val="1"/>
        <w:jc w:val="both"/>
      </w:pPr>
      <w:r>
        <w:rPr>
          <w:sz w:val="20"/>
        </w:rPr>
        <w:t xml:space="preserve">                                                    └─────┘</w:t>
      </w:r>
    </w:p>
    <w:p>
      <w:pPr>
        <w:pStyle w:val="1"/>
        <w:jc w:val="both"/>
      </w:pPr>
      <w:r>
        <w:rPr>
          <w:sz w:val="20"/>
        </w:rPr>
        <w:t xml:space="preserve">            на 20__ год и на плановый период 20__ и 20__ годов</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2154"/>
        <w:gridCol w:w="4365"/>
        <w:gridCol w:w="1474"/>
        <w:gridCol w:w="1077"/>
      </w:tblGrid>
      <w:tr>
        <w:tc>
          <w:tcPr>
            <w:gridSpan w:val="2"/>
            <w:tcW w:w="6519" w:type="dxa"/>
            <w:tcBorders>
              <w:top w:val="nil"/>
              <w:left w:val="nil"/>
              <w:bottom w:val="nil"/>
              <w:right w:val="nil"/>
            </w:tcBorders>
          </w:tcPr>
          <w:p>
            <w:pPr>
              <w:pStyle w:val="0"/>
            </w:pPr>
            <w:r>
              <w:rPr>
                <w:sz w:val="20"/>
              </w:rPr>
            </w:r>
          </w:p>
        </w:tc>
        <w:tc>
          <w:tcPr>
            <w:tcW w:w="1474" w:type="dxa"/>
            <w:tcBorders>
              <w:top w:val="nil"/>
              <w:left w:val="nil"/>
              <w:bottom w:val="nil"/>
              <w:right w:val="single" w:sz="4"/>
            </w:tcBorders>
          </w:tcPr>
          <w:p>
            <w:pPr>
              <w:pStyle w:val="0"/>
            </w:pPr>
            <w:r>
              <w:rPr>
                <w:sz w:val="20"/>
              </w:rPr>
            </w:r>
          </w:p>
        </w:tc>
        <w:tc>
          <w:tcPr>
            <w:tcW w:w="1077" w:type="dxa"/>
            <w:tcBorders>
              <w:top w:val="single" w:sz="4"/>
              <w:left w:val="single" w:sz="4"/>
              <w:bottom w:val="single" w:sz="4"/>
              <w:right w:val="single" w:sz="4"/>
            </w:tcBorders>
          </w:tcPr>
          <w:p>
            <w:pPr>
              <w:pStyle w:val="0"/>
              <w:jc w:val="center"/>
            </w:pPr>
            <w:r>
              <w:rPr>
                <w:sz w:val="20"/>
              </w:rPr>
              <w:t xml:space="preserve">Коды</w:t>
            </w:r>
          </w:p>
        </w:tc>
      </w:tr>
      <w:tr>
        <w:tc>
          <w:tcPr>
            <w:tcW w:w="2154" w:type="dxa"/>
            <w:tcBorders>
              <w:top w:val="nil"/>
              <w:left w:val="nil"/>
              <w:bottom w:val="nil"/>
              <w:right w:val="nil"/>
            </w:tcBorders>
            <w:vMerge w:val="restart"/>
          </w:tcPr>
          <w:p>
            <w:pPr>
              <w:pStyle w:val="0"/>
            </w:pPr>
            <w:r>
              <w:rPr>
                <w:sz w:val="20"/>
              </w:rPr>
            </w:r>
          </w:p>
        </w:tc>
        <w:tc>
          <w:tcPr>
            <w:tcW w:w="4365" w:type="dxa"/>
            <w:tcBorders>
              <w:top w:val="nil"/>
              <w:left w:val="nil"/>
              <w:bottom w:val="nil"/>
              <w:right w:val="nil"/>
            </w:tcBorders>
          </w:tcPr>
          <w:p>
            <w:pPr>
              <w:pStyle w:val="0"/>
            </w:pPr>
            <w:r>
              <w:rPr>
                <w:sz w:val="20"/>
              </w:rPr>
            </w:r>
          </w:p>
        </w:tc>
        <w:tc>
          <w:tcPr>
            <w:tcW w:w="1474" w:type="dxa"/>
            <w:tcBorders>
              <w:top w:val="nil"/>
              <w:left w:val="nil"/>
              <w:bottom w:val="nil"/>
              <w:right w:val="single" w:sz="4"/>
            </w:tcBorders>
          </w:tcPr>
          <w:p>
            <w:pPr>
              <w:pStyle w:val="0"/>
              <w:jc w:val="right"/>
            </w:pPr>
            <w:r>
              <w:rPr>
                <w:sz w:val="20"/>
              </w:rPr>
              <w:t xml:space="preserve">Форма по </w:t>
            </w:r>
            <w:hyperlink w:history="0" r:id="rId65" w:tooltip="&quot;ОК 011-93. Общероссийский классификатор управленческой документации&quot; (утв. Постановлением Госстандарта России от 30.12.1993 N 299) (ред. от 11.09.2025) {КонсультантПлюс}">
              <w:r>
                <w:rPr>
                  <w:sz w:val="20"/>
                  <w:color w:val="0000ff"/>
                </w:rPr>
                <w:t xml:space="preserve">ОКУД</w:t>
              </w:r>
            </w:hyperlink>
          </w:p>
        </w:tc>
        <w:tc>
          <w:tcPr>
            <w:tcW w:w="1077" w:type="dxa"/>
            <w:vAlign w:val="center"/>
            <w:tcBorders>
              <w:top w:val="single" w:sz="4"/>
              <w:left w:val="single" w:sz="4"/>
              <w:bottom w:val="single" w:sz="4"/>
              <w:right w:val="single" w:sz="4"/>
            </w:tcBorders>
          </w:tcPr>
          <w:p>
            <w:pPr>
              <w:pStyle w:val="0"/>
              <w:jc w:val="center"/>
            </w:pPr>
            <w:r>
              <w:rPr>
                <w:sz w:val="20"/>
              </w:rPr>
              <w:t xml:space="preserve">0506501</w:t>
            </w:r>
          </w:p>
        </w:tc>
      </w:tr>
      <w:tr>
        <w:tc>
          <w:tcPr>
            <w:tcBorders>
              <w:top w:val="nil"/>
              <w:left w:val="nil"/>
              <w:bottom w:val="nil"/>
              <w:right w:val="nil"/>
            </w:tcBorders>
            <w:vMerge w:val="continue"/>
          </w:tcPr>
          <w:p/>
        </w:tc>
        <w:tc>
          <w:tcPr>
            <w:tcW w:w="4365" w:type="dxa"/>
            <w:tcBorders>
              <w:top w:val="nil"/>
              <w:left w:val="nil"/>
              <w:bottom w:val="nil"/>
              <w:right w:val="nil"/>
            </w:tcBorders>
          </w:tcPr>
          <w:p>
            <w:pPr>
              <w:pStyle w:val="0"/>
              <w:jc w:val="center"/>
            </w:pPr>
            <w:r>
              <w:rPr>
                <w:sz w:val="20"/>
              </w:rPr>
              <w:t xml:space="preserve">на "__" ________ 20__ г. </w:t>
            </w:r>
            <w:hyperlink w:history="0" w:anchor="P1819" w:tooltip="&lt;2&gt; Указывается дата, на которую составляется отчет.">
              <w:r>
                <w:rPr>
                  <w:sz w:val="20"/>
                  <w:color w:val="0000ff"/>
                </w:rPr>
                <w:t xml:space="preserve">&lt;2&gt;</w:t>
              </w:r>
            </w:hyperlink>
          </w:p>
        </w:tc>
        <w:tc>
          <w:tcPr>
            <w:tcW w:w="1474" w:type="dxa"/>
            <w:tcBorders>
              <w:top w:val="nil"/>
              <w:left w:val="nil"/>
              <w:bottom w:val="nil"/>
              <w:right w:val="single" w:sz="4"/>
            </w:tcBorders>
          </w:tcPr>
          <w:p>
            <w:pPr>
              <w:pStyle w:val="0"/>
              <w:jc w:val="right"/>
            </w:pPr>
            <w:r>
              <w:rPr>
                <w:sz w:val="20"/>
              </w:rPr>
              <w:t xml:space="preserve">Дата</w:t>
            </w:r>
          </w:p>
        </w:tc>
        <w:tc>
          <w:tcPr>
            <w:tcW w:w="1077" w:type="dxa"/>
            <w:tcBorders>
              <w:top w:val="single" w:sz="4"/>
              <w:left w:val="single" w:sz="4"/>
              <w:bottom w:val="single" w:sz="4"/>
              <w:right w:val="single" w:sz="4"/>
            </w:tcBorders>
          </w:tcPr>
          <w:p>
            <w:pPr>
              <w:pStyle w:val="0"/>
            </w:pPr>
            <w:r>
              <w:rPr>
                <w:sz w:val="20"/>
              </w:rPr>
            </w:r>
          </w:p>
        </w:tc>
      </w:tr>
      <w:tr>
        <w:tc>
          <w:tcPr>
            <w:tcW w:w="2154" w:type="dxa"/>
            <w:vAlign w:val="center"/>
            <w:tcBorders>
              <w:top w:val="nil"/>
              <w:left w:val="nil"/>
              <w:bottom w:val="nil"/>
              <w:right w:val="nil"/>
            </w:tcBorders>
            <w:vMerge w:val="restart"/>
          </w:tcPr>
          <w:p>
            <w:pPr>
              <w:pStyle w:val="0"/>
            </w:pPr>
            <w:r>
              <w:rPr>
                <w:sz w:val="20"/>
              </w:rPr>
              <w:t xml:space="preserve">Наименование федерального государственного учреждения (обособленного подразделения)</w:t>
            </w:r>
          </w:p>
        </w:tc>
        <w:tc>
          <w:tcPr>
            <w:tcW w:w="4365" w:type="dxa"/>
            <w:tcBorders>
              <w:top w:val="nil"/>
              <w:left w:val="nil"/>
              <w:bottom w:val="single" w:sz="4"/>
              <w:right w:val="nil"/>
            </w:tcBorders>
            <w:vMerge w:val="restart"/>
          </w:tcPr>
          <w:p>
            <w:pPr>
              <w:pStyle w:val="0"/>
            </w:pPr>
            <w:r>
              <w:rPr>
                <w:sz w:val="20"/>
              </w:rPr>
            </w:r>
          </w:p>
        </w:tc>
        <w:tc>
          <w:tcPr>
            <w:tcW w:w="1474" w:type="dxa"/>
            <w:tcBorders>
              <w:top w:val="nil"/>
              <w:left w:val="nil"/>
              <w:bottom w:val="nil"/>
              <w:right w:val="single" w:sz="4"/>
            </w:tcBorders>
          </w:tcPr>
          <w:p>
            <w:pPr>
              <w:pStyle w:val="0"/>
              <w:jc w:val="right"/>
            </w:pPr>
            <w:r>
              <w:rPr>
                <w:sz w:val="20"/>
              </w:rPr>
              <w:t xml:space="preserve">Код по сводному реестру</w:t>
            </w:r>
          </w:p>
        </w:tc>
        <w:tc>
          <w:tcPr>
            <w:tcW w:w="1077" w:type="dxa"/>
            <w:tcBorders>
              <w:top w:val="single" w:sz="4"/>
              <w:left w:val="single" w:sz="4"/>
              <w:bottom w:val="nil"/>
              <w:right w:val="single" w:sz="4"/>
            </w:tcBorders>
          </w:tcPr>
          <w:p>
            <w:pPr>
              <w:pStyle w:val="0"/>
            </w:pPr>
            <w:r>
              <w:rPr>
                <w:sz w:val="20"/>
              </w:rPr>
            </w:r>
          </w:p>
        </w:tc>
      </w:tr>
      <w:tr>
        <w:tc>
          <w:tcPr>
            <w:tcBorders>
              <w:top w:val="nil"/>
              <w:left w:val="nil"/>
              <w:bottom w:val="nil"/>
              <w:right w:val="nil"/>
            </w:tcBorders>
            <w:vMerge w:val="continue"/>
          </w:tcPr>
          <w:p/>
        </w:tc>
        <w:tc>
          <w:tcPr>
            <w:tcBorders>
              <w:top w:val="nil"/>
              <w:left w:val="nil"/>
              <w:bottom w:val="single" w:sz="4"/>
              <w:right w:val="nil"/>
            </w:tcBorders>
            <w:vMerge w:val="continue"/>
          </w:tcPr>
          <w:p/>
        </w:tc>
        <w:tc>
          <w:tcPr>
            <w:tcW w:w="1474" w:type="dxa"/>
            <w:tcBorders>
              <w:top w:val="nil"/>
              <w:left w:val="nil"/>
              <w:bottom w:val="nil"/>
              <w:right w:val="single" w:sz="4"/>
            </w:tcBorders>
          </w:tcPr>
          <w:p>
            <w:pPr>
              <w:pStyle w:val="0"/>
            </w:pPr>
            <w:r>
              <w:rPr>
                <w:sz w:val="20"/>
              </w:rPr>
            </w:r>
          </w:p>
        </w:tc>
        <w:tc>
          <w:tcPr>
            <w:tcW w:w="1077" w:type="dxa"/>
            <w:tcBorders>
              <w:top w:val="nil"/>
              <w:left w:val="single" w:sz="4"/>
              <w:bottom w:val="single" w:sz="4"/>
              <w:right w:val="single" w:sz="4"/>
            </w:tcBorders>
          </w:tcPr>
          <w:p>
            <w:pPr>
              <w:pStyle w:val="0"/>
            </w:pPr>
            <w:r>
              <w:rPr>
                <w:sz w:val="20"/>
              </w:rPr>
            </w:r>
          </w:p>
        </w:tc>
      </w:tr>
      <w:tr>
        <w:tc>
          <w:tcPr>
            <w:tcW w:w="2154" w:type="dxa"/>
            <w:vAlign w:val="bottom"/>
            <w:tcBorders>
              <w:top w:val="nil"/>
              <w:left w:val="nil"/>
              <w:bottom w:val="nil"/>
              <w:right w:val="nil"/>
            </w:tcBorders>
          </w:tcPr>
          <w:p>
            <w:pPr>
              <w:pStyle w:val="0"/>
            </w:pPr>
            <w:r>
              <w:rPr>
                <w:sz w:val="20"/>
              </w:rPr>
              <w:t xml:space="preserve">Вид деятельности федерального государственного учреждения (обособленного подразделения)</w:t>
            </w:r>
          </w:p>
        </w:tc>
        <w:tc>
          <w:tcPr>
            <w:tcW w:w="436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ОКВЭД</w:t>
              </w:r>
            </w:hyperlink>
          </w:p>
        </w:tc>
        <w:tc>
          <w:tcPr>
            <w:tcW w:w="1077" w:type="dxa"/>
            <w:tcBorders>
              <w:top w:val="single" w:sz="4"/>
              <w:left w:val="single" w:sz="4"/>
              <w:bottom w:val="single" w:sz="4"/>
              <w:right w:val="single" w:sz="4"/>
            </w:tcBorders>
          </w:tcPr>
          <w:p>
            <w:pPr>
              <w:pStyle w:val="0"/>
            </w:pPr>
            <w:r>
              <w:rPr>
                <w:sz w:val="20"/>
              </w:rPr>
            </w:r>
          </w:p>
        </w:tc>
      </w:tr>
      <w:tr>
        <w:tc>
          <w:tcPr>
            <w:tcW w:w="2154" w:type="dxa"/>
            <w:tcBorders>
              <w:top w:val="nil"/>
              <w:left w:val="nil"/>
              <w:bottom w:val="nil"/>
              <w:right w:val="nil"/>
            </w:tcBorders>
          </w:tcPr>
          <w:p>
            <w:pPr>
              <w:pStyle w:val="0"/>
            </w:pPr>
            <w:r>
              <w:rPr>
                <w:sz w:val="20"/>
              </w:rPr>
            </w:r>
          </w:p>
        </w:tc>
        <w:tc>
          <w:tcPr>
            <w:tcW w:w="4365" w:type="dxa"/>
            <w:tcBorders>
              <w:top w:val="single" w:sz="4"/>
              <w:left w:val="nil"/>
              <w:bottom w:val="single" w:sz="4"/>
              <w:right w:val="nil"/>
            </w:tcBorders>
          </w:tcPr>
          <w:p>
            <w:pPr>
              <w:pStyle w:val="0"/>
            </w:pPr>
            <w:r>
              <w:rPr>
                <w:sz w:val="20"/>
              </w:rPr>
            </w:r>
          </w:p>
        </w:tc>
        <w:tc>
          <w:tcPr>
            <w:tcW w:w="1474" w:type="dxa"/>
            <w:tcBorders>
              <w:top w:val="nil"/>
              <w:left w:val="nil"/>
              <w:bottom w:val="nil"/>
              <w:right w:val="single" w:sz="4"/>
            </w:tcBorders>
          </w:tcPr>
          <w:p>
            <w:pPr>
              <w:pStyle w:val="0"/>
              <w:jc w:val="right"/>
            </w:pPr>
            <w:r>
              <w:rPr>
                <w:sz w:val="20"/>
              </w:rPr>
              <w:t xml:space="preserve">По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ОКВЭД</w:t>
              </w:r>
            </w:hyperlink>
          </w:p>
        </w:tc>
        <w:tc>
          <w:tcPr>
            <w:tcW w:w="1077" w:type="dxa"/>
            <w:tcBorders>
              <w:top w:val="single" w:sz="4"/>
              <w:left w:val="single" w:sz="4"/>
              <w:bottom w:val="single" w:sz="4"/>
              <w:right w:val="single" w:sz="4"/>
            </w:tcBorders>
          </w:tcPr>
          <w:p>
            <w:pPr>
              <w:pStyle w:val="0"/>
            </w:pPr>
            <w:r>
              <w:rPr>
                <w:sz w:val="20"/>
              </w:rPr>
            </w:r>
          </w:p>
        </w:tc>
      </w:tr>
      <w:tr>
        <w:tc>
          <w:tcPr>
            <w:tcW w:w="2154" w:type="dxa"/>
            <w:tcBorders>
              <w:top w:val="nil"/>
              <w:left w:val="nil"/>
              <w:bottom w:val="nil"/>
              <w:right w:val="nil"/>
            </w:tcBorders>
          </w:tcPr>
          <w:p>
            <w:pPr>
              <w:pStyle w:val="0"/>
            </w:pPr>
            <w:r>
              <w:rPr>
                <w:sz w:val="20"/>
              </w:rPr>
            </w:r>
          </w:p>
        </w:tc>
        <w:tc>
          <w:tcPr>
            <w:tcW w:w="4365" w:type="dxa"/>
            <w:tcBorders>
              <w:top w:val="single" w:sz="4"/>
              <w:left w:val="nil"/>
              <w:bottom w:val="single" w:sz="4"/>
              <w:right w:val="nil"/>
            </w:tcBorders>
          </w:tcPr>
          <w:p>
            <w:pPr>
              <w:pStyle w:val="0"/>
            </w:pPr>
            <w:r>
              <w:rPr>
                <w:sz w:val="20"/>
              </w:rPr>
            </w:r>
          </w:p>
        </w:tc>
        <w:tc>
          <w:tcPr>
            <w:tcW w:w="1474" w:type="dxa"/>
            <w:tcBorders>
              <w:top w:val="nil"/>
              <w:left w:val="nil"/>
              <w:bottom w:val="nil"/>
              <w:right w:val="single" w:sz="4"/>
            </w:tcBorders>
          </w:tcPr>
          <w:p>
            <w:pPr>
              <w:pStyle w:val="0"/>
              <w:jc w:val="right"/>
            </w:pPr>
            <w:r>
              <w:rPr>
                <w:sz w:val="20"/>
              </w:rPr>
              <w:t xml:space="preserve">По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ОКВЭД</w:t>
              </w:r>
            </w:hyperlink>
          </w:p>
        </w:tc>
        <w:tc>
          <w:tcPr>
            <w:tcW w:w="1077" w:type="dxa"/>
            <w:tcBorders>
              <w:top w:val="single" w:sz="4"/>
              <w:left w:val="single" w:sz="4"/>
              <w:bottom w:val="single" w:sz="4"/>
              <w:right w:val="single" w:sz="4"/>
            </w:tcBorders>
          </w:tcPr>
          <w:p>
            <w:pPr>
              <w:pStyle w:val="0"/>
            </w:pPr>
            <w:r>
              <w:rPr>
                <w:sz w:val="20"/>
              </w:rPr>
            </w:r>
          </w:p>
        </w:tc>
      </w:tr>
      <w:tr>
        <w:tc>
          <w:tcPr>
            <w:tcW w:w="2154" w:type="dxa"/>
            <w:tcBorders>
              <w:top w:val="nil"/>
              <w:left w:val="nil"/>
              <w:bottom w:val="nil"/>
              <w:right w:val="nil"/>
            </w:tcBorders>
          </w:tcPr>
          <w:p>
            <w:pPr>
              <w:pStyle w:val="0"/>
            </w:pPr>
            <w:r>
              <w:rPr>
                <w:sz w:val="20"/>
              </w:rPr>
            </w:r>
          </w:p>
        </w:tc>
        <w:tc>
          <w:tcPr>
            <w:tcW w:w="4365" w:type="dxa"/>
            <w:tcBorders>
              <w:top w:val="single" w:sz="4"/>
              <w:left w:val="nil"/>
              <w:bottom w:val="nil"/>
              <w:right w:val="nil"/>
            </w:tcBorders>
          </w:tcPr>
          <w:p>
            <w:pPr>
              <w:pStyle w:val="0"/>
              <w:jc w:val="center"/>
            </w:pPr>
            <w:r>
              <w:rPr>
                <w:sz w:val="20"/>
              </w:rPr>
              <w:t xml:space="preserve">(указываются виды деятельности федерального государственного учреждения, по которым ему утверждено государственное задание)</w:t>
            </w:r>
          </w:p>
        </w:tc>
        <w:tc>
          <w:tcPr>
            <w:tcW w:w="1474" w:type="dxa"/>
            <w:tcBorders>
              <w:top w:val="nil"/>
              <w:left w:val="nil"/>
              <w:bottom w:val="nil"/>
              <w:right w:val="single" w:sz="4"/>
            </w:tcBorders>
          </w:tcPr>
          <w:p>
            <w:pPr>
              <w:pStyle w:val="0"/>
            </w:pPr>
            <w:r>
              <w:rPr>
                <w:sz w:val="20"/>
              </w:rPr>
            </w:r>
          </w:p>
        </w:tc>
        <w:tc>
          <w:tcPr>
            <w:tcW w:w="1077" w:type="dxa"/>
            <w:tcBorders>
              <w:top w:val="single" w:sz="4"/>
              <w:left w:val="single" w:sz="4"/>
              <w:bottom w:val="nil"/>
              <w:right w:val="single" w:sz="4"/>
            </w:tcBorders>
          </w:tcPr>
          <w:p>
            <w:pPr>
              <w:pStyle w:val="0"/>
            </w:pPr>
            <w:r>
              <w:rPr>
                <w:sz w:val="20"/>
              </w:rPr>
            </w:r>
          </w:p>
        </w:tc>
      </w:tr>
      <w:tr>
        <w:tc>
          <w:tcPr>
            <w:tcW w:w="2154" w:type="dxa"/>
            <w:tcBorders>
              <w:top w:val="nil"/>
              <w:left w:val="nil"/>
              <w:bottom w:val="nil"/>
              <w:right w:val="nil"/>
            </w:tcBorders>
          </w:tcPr>
          <w:p>
            <w:pPr>
              <w:pStyle w:val="0"/>
              <w:jc w:val="both"/>
            </w:pPr>
            <w:r>
              <w:rPr>
                <w:sz w:val="20"/>
              </w:rPr>
              <w:t xml:space="preserve">Периодичность</w:t>
            </w:r>
          </w:p>
        </w:tc>
        <w:tc>
          <w:tcPr>
            <w:tcW w:w="4365" w:type="dxa"/>
            <w:tcBorders>
              <w:top w:val="nil"/>
              <w:left w:val="nil"/>
              <w:bottom w:val="single" w:sz="4"/>
              <w:right w:val="nil"/>
            </w:tcBorders>
          </w:tcPr>
          <w:p>
            <w:pPr>
              <w:pStyle w:val="0"/>
            </w:pPr>
            <w:r>
              <w:rPr>
                <w:sz w:val="20"/>
              </w:rPr>
            </w:r>
          </w:p>
        </w:tc>
        <w:tc>
          <w:tcPr>
            <w:tcW w:w="1474" w:type="dxa"/>
            <w:tcBorders>
              <w:top w:val="nil"/>
              <w:left w:val="nil"/>
              <w:bottom w:val="nil"/>
              <w:right w:val="single" w:sz="4"/>
            </w:tcBorders>
          </w:tcPr>
          <w:p>
            <w:pPr>
              <w:pStyle w:val="0"/>
            </w:pPr>
            <w:r>
              <w:rPr>
                <w:sz w:val="20"/>
              </w:rPr>
            </w:r>
          </w:p>
        </w:tc>
        <w:tc>
          <w:tcPr>
            <w:tcW w:w="1077" w:type="dxa"/>
            <w:tcBorders>
              <w:top w:val="nil"/>
              <w:left w:val="single" w:sz="4"/>
              <w:bottom w:val="single" w:sz="4"/>
              <w:right w:val="single" w:sz="4"/>
            </w:tcBorders>
          </w:tcPr>
          <w:p>
            <w:pPr>
              <w:pStyle w:val="0"/>
            </w:pPr>
            <w:r>
              <w:rPr>
                <w:sz w:val="20"/>
              </w:rPr>
            </w:r>
          </w:p>
        </w:tc>
      </w:tr>
      <w:tr>
        <w:tblPrEx>
          <w:tblBorders>
            <w:right w:val="nil"/>
          </w:tblBorders>
        </w:tblPrEx>
        <w:tc>
          <w:tcPr>
            <w:tcW w:w="2154" w:type="dxa"/>
            <w:tcBorders>
              <w:top w:val="nil"/>
              <w:left w:val="nil"/>
              <w:bottom w:val="nil"/>
              <w:right w:val="nil"/>
            </w:tcBorders>
          </w:tcPr>
          <w:p>
            <w:pPr>
              <w:pStyle w:val="0"/>
            </w:pPr>
            <w:r>
              <w:rPr>
                <w:sz w:val="20"/>
              </w:rPr>
            </w:r>
          </w:p>
        </w:tc>
        <w:tc>
          <w:tcPr>
            <w:tcW w:w="4365" w:type="dxa"/>
            <w:vAlign w:val="center"/>
            <w:tcBorders>
              <w:top w:val="single" w:sz="4"/>
              <w:left w:val="nil"/>
              <w:bottom w:val="nil"/>
              <w:right w:val="nil"/>
            </w:tcBorders>
          </w:tcPr>
          <w:p>
            <w:pPr>
              <w:pStyle w:val="0"/>
              <w:jc w:val="center"/>
            </w:pPr>
            <w:r>
              <w:rPr>
                <w:sz w:val="20"/>
              </w:rPr>
              <w:t xml:space="preserve">(указывается в соответствии с периодичностью представления отчета о выполнении государственного задания, установленной в государственном задании)</w:t>
            </w:r>
          </w:p>
        </w:tc>
        <w:tc>
          <w:tcPr>
            <w:tcW w:w="1474" w:type="dxa"/>
            <w:tcBorders>
              <w:top w:val="nil"/>
              <w:left w:val="nil"/>
              <w:bottom w:val="nil"/>
              <w:right w:val="nil"/>
            </w:tcBorders>
          </w:tcPr>
          <w:p>
            <w:pPr>
              <w:pStyle w:val="0"/>
            </w:pPr>
            <w:r>
              <w:rPr>
                <w:sz w:val="20"/>
              </w:rPr>
            </w:r>
          </w:p>
        </w:tc>
        <w:tc>
          <w:tcPr>
            <w:tcW w:w="1077" w:type="dxa"/>
            <w:tcBorders>
              <w:top w:val="single" w:sz="4"/>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       Часть I. Сведения об оказываемых государственных услугах </w:t>
      </w:r>
      <w:hyperlink w:history="0" w:anchor="P1820" w:tooltip="&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0"/>
            <w:color w:val="0000ff"/>
          </w:rPr>
          <w:t xml:space="preserve">&lt;3&gt;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1984"/>
        <w:gridCol w:w="3061"/>
        <w:gridCol w:w="2608"/>
        <w:gridCol w:w="1417"/>
      </w:tblGrid>
      <w:tr>
        <w:tblPrEx>
          <w:tblBorders>
            <w:right w:val="single" w:sz="4"/>
          </w:tblBorders>
        </w:tblPrEx>
        <w:tc>
          <w:tcPr>
            <w:tcW w:w="1984" w:type="dxa"/>
            <w:tcBorders>
              <w:top w:val="nil"/>
              <w:left w:val="nil"/>
              <w:bottom w:val="nil"/>
              <w:right w:val="nil"/>
            </w:tcBorders>
          </w:tcPr>
          <w:p>
            <w:pPr>
              <w:pStyle w:val="0"/>
            </w:pPr>
            <w:r>
              <w:rPr>
                <w:sz w:val="20"/>
              </w:rPr>
              <w:t xml:space="preserve">1. Наименование государственной услуги</w:t>
            </w:r>
          </w:p>
        </w:tc>
        <w:tc>
          <w:tcPr>
            <w:tcW w:w="3061" w:type="dxa"/>
            <w:tcBorders>
              <w:top w:val="nil"/>
              <w:left w:val="nil"/>
              <w:bottom w:val="single" w:sz="4"/>
              <w:right w:val="nil"/>
            </w:tcBorders>
          </w:tcPr>
          <w:p>
            <w:pPr>
              <w:pStyle w:val="0"/>
            </w:pPr>
            <w:r>
              <w:rPr>
                <w:sz w:val="20"/>
              </w:rPr>
            </w:r>
          </w:p>
        </w:tc>
        <w:tc>
          <w:tcPr>
            <w:tcW w:w="2608" w:type="dxa"/>
            <w:tcBorders>
              <w:top w:val="nil"/>
              <w:left w:val="nil"/>
              <w:bottom w:val="nil"/>
              <w:right w:val="single" w:sz="4"/>
            </w:tcBorders>
          </w:tcPr>
          <w:p>
            <w:pPr>
              <w:pStyle w:val="0"/>
              <w:jc w:val="right"/>
            </w:pPr>
            <w:r>
              <w:rPr>
                <w:sz w:val="20"/>
              </w:rPr>
              <w:t xml:space="preserve">Код по общероссийскому базовому перечню или федеральному перечню</w:t>
            </w:r>
          </w:p>
        </w:tc>
        <w:tc>
          <w:tcPr>
            <w:tcW w:w="1417" w:type="dxa"/>
            <w:tcBorders>
              <w:top w:val="single" w:sz="4"/>
              <w:left w:val="single" w:sz="4"/>
              <w:bottom w:val="single" w:sz="4"/>
              <w:right w:val="single" w:sz="4"/>
            </w:tcBorders>
          </w:tcPr>
          <w:p>
            <w:pPr>
              <w:pStyle w:val="0"/>
            </w:pPr>
            <w:r>
              <w:rPr>
                <w:sz w:val="20"/>
              </w:rPr>
            </w:r>
          </w:p>
        </w:tc>
      </w:tr>
      <w:tr>
        <w:tc>
          <w:tcPr>
            <w:tcW w:w="1984" w:type="dxa"/>
            <w:tcBorders>
              <w:top w:val="nil"/>
              <w:left w:val="nil"/>
              <w:bottom w:val="nil"/>
              <w:right w:val="nil"/>
            </w:tcBorders>
          </w:tcPr>
          <w:p>
            <w:pPr>
              <w:pStyle w:val="0"/>
            </w:pPr>
            <w:r>
              <w:rPr>
                <w:sz w:val="20"/>
              </w:rPr>
              <w:t xml:space="preserve">2. Категории потребителей государственной услуги</w:t>
            </w:r>
          </w:p>
        </w:tc>
        <w:tc>
          <w:tcPr>
            <w:tcW w:w="3061" w:type="dxa"/>
            <w:tcBorders>
              <w:top w:val="single" w:sz="4"/>
              <w:left w:val="nil"/>
              <w:bottom w:val="single" w:sz="4"/>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Сведения о фактическом  достижении  показателей,  характеризующих  объем</w:t>
      </w:r>
    </w:p>
    <w:p>
      <w:pPr>
        <w:pStyle w:val="1"/>
        <w:jc w:val="both"/>
      </w:pPr>
      <w:r>
        <w:rPr>
          <w:sz w:val="20"/>
        </w:rPr>
        <w:t xml:space="preserve">и (или) качество государственной услуги</w:t>
      </w:r>
    </w:p>
    <w:p>
      <w:pPr>
        <w:pStyle w:val="1"/>
        <w:jc w:val="both"/>
      </w:pPr>
      <w:r>
        <w:rPr>
          <w:sz w:val="20"/>
        </w:rPr>
      </w:r>
    </w:p>
    <w:p>
      <w:pPr>
        <w:pStyle w:val="1"/>
        <w:jc w:val="both"/>
      </w:pPr>
      <w:r>
        <w:rPr>
          <w:sz w:val="20"/>
        </w:rPr>
        <w:t xml:space="preserve">3.1. Сведения  о   фактическом  достижении   показателей,   характеризующих</w:t>
      </w:r>
    </w:p>
    <w:p>
      <w:pPr>
        <w:pStyle w:val="1"/>
        <w:jc w:val="both"/>
      </w:pPr>
      <w:r>
        <w:rPr>
          <w:sz w:val="20"/>
        </w:rPr>
        <w:t xml:space="preserve">качество государственной услуги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850"/>
        <w:gridCol w:w="680"/>
        <w:gridCol w:w="680"/>
        <w:gridCol w:w="680"/>
        <w:gridCol w:w="794"/>
        <w:gridCol w:w="794"/>
        <w:gridCol w:w="680"/>
        <w:gridCol w:w="680"/>
        <w:gridCol w:w="707"/>
        <w:gridCol w:w="907"/>
        <w:gridCol w:w="1077"/>
        <w:gridCol w:w="794"/>
        <w:gridCol w:w="737"/>
        <w:gridCol w:w="850"/>
        <w:gridCol w:w="794"/>
      </w:tblGrid>
      <w:tr>
        <w:tc>
          <w:tcPr>
            <w:tcW w:w="850" w:type="dxa"/>
            <w:tcBorders>
              <w:left w:val="nil"/>
            </w:tcBorders>
            <w:vMerge w:val="restart"/>
          </w:tcPr>
          <w:p>
            <w:pPr>
              <w:pStyle w:val="0"/>
              <w:jc w:val="center"/>
            </w:pPr>
            <w:r>
              <w:rPr>
                <w:sz w:val="20"/>
              </w:rPr>
              <w:t xml:space="preserve">Уникальный номер реестровой записи </w:t>
            </w:r>
            <w:hyperlink w:history="0" w:anchor="P1821" w:tooltip="&lt;4&gt; Формируется в соответствии с государственным заданием.">
              <w:r>
                <w:rPr>
                  <w:sz w:val="20"/>
                  <w:color w:val="0000ff"/>
                </w:rPr>
                <w:t xml:space="preserve">&lt;4&gt;</w:t>
              </w:r>
            </w:hyperlink>
          </w:p>
        </w:tc>
        <w:tc>
          <w:tcPr>
            <w:gridSpan w:val="3"/>
            <w:tcW w:w="2040" w:type="dxa"/>
            <w:vMerge w:val="restart"/>
          </w:tcPr>
          <w:p>
            <w:pPr>
              <w:pStyle w:val="0"/>
              <w:jc w:val="center"/>
            </w:pPr>
            <w:r>
              <w:rPr>
                <w:sz w:val="20"/>
              </w:rPr>
              <w:t xml:space="preserve">Показатель, характеризующий содержание государственной услуги</w:t>
            </w:r>
          </w:p>
        </w:tc>
        <w:tc>
          <w:tcPr>
            <w:gridSpan w:val="2"/>
            <w:tcW w:w="1588" w:type="dxa"/>
            <w:vMerge w:val="restart"/>
          </w:tcPr>
          <w:p>
            <w:pPr>
              <w:pStyle w:val="0"/>
              <w:jc w:val="center"/>
            </w:pPr>
            <w:r>
              <w:rPr>
                <w:sz w:val="20"/>
              </w:rPr>
              <w:t xml:space="preserve">Показатель, характеризующий условия (формы) оказания государственной услуги</w:t>
            </w:r>
          </w:p>
        </w:tc>
        <w:tc>
          <w:tcPr>
            <w:gridSpan w:val="9"/>
            <w:tcW w:w="7226" w:type="dxa"/>
            <w:tcBorders>
              <w:right w:val="nil"/>
            </w:tcBorders>
          </w:tcPr>
          <w:p>
            <w:pPr>
              <w:pStyle w:val="0"/>
              <w:jc w:val="center"/>
            </w:pPr>
            <w:r>
              <w:rPr>
                <w:sz w:val="20"/>
              </w:rPr>
              <w:t xml:space="preserve">Показатель качества государственной услуги</w:t>
            </w:r>
          </w:p>
        </w:tc>
      </w:tr>
      <w:tr>
        <w:tc>
          <w:tcPr>
            <w:tcBorders>
              <w:left w:val="nil"/>
            </w:tcBorders>
            <w:vMerge w:val="continue"/>
          </w:tcPr>
          <w:p/>
        </w:tc>
        <w:tc>
          <w:tcPr>
            <w:gridSpan w:val="3"/>
            <w:vMerge w:val="continue"/>
          </w:tcPr>
          <w:p/>
        </w:tc>
        <w:tc>
          <w:tcPr>
            <w:gridSpan w:val="2"/>
            <w:vMerge w:val="continue"/>
          </w:tcPr>
          <w:p/>
        </w:tc>
        <w:tc>
          <w:tcPr>
            <w:tcW w:w="680" w:type="dxa"/>
            <w:vMerge w:val="restart"/>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gridSpan w:val="2"/>
            <w:tcW w:w="1387" w:type="dxa"/>
          </w:tcPr>
          <w:p>
            <w:pPr>
              <w:pStyle w:val="0"/>
              <w:jc w:val="center"/>
            </w:pPr>
            <w:r>
              <w:rPr>
                <w:sz w:val="20"/>
              </w:rPr>
              <w:t xml:space="preserve">единица измерения</w:t>
            </w:r>
          </w:p>
        </w:tc>
        <w:tc>
          <w:tcPr>
            <w:gridSpan w:val="3"/>
            <w:tcW w:w="2778" w:type="dxa"/>
          </w:tcPr>
          <w:p>
            <w:pPr>
              <w:pStyle w:val="0"/>
              <w:jc w:val="center"/>
            </w:pPr>
            <w:r>
              <w:rPr>
                <w:sz w:val="20"/>
              </w:rPr>
              <w:t xml:space="preserve">значение</w:t>
            </w:r>
          </w:p>
        </w:tc>
        <w:tc>
          <w:tcPr>
            <w:tcW w:w="737" w:type="dxa"/>
            <w:vMerge w:val="restart"/>
          </w:tcPr>
          <w:p>
            <w:pPr>
              <w:pStyle w:val="0"/>
              <w:jc w:val="center"/>
            </w:pPr>
            <w:r>
              <w:rPr>
                <w:sz w:val="20"/>
              </w:rPr>
              <w:t xml:space="preserve">допустимое (возможное) отклонение </w:t>
            </w:r>
            <w:hyperlink w:history="0" w:anchor="P182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850" w:type="dxa"/>
            <w:vMerge w:val="restart"/>
          </w:tcPr>
          <w:p>
            <w:pPr>
              <w:pStyle w:val="0"/>
              <w:jc w:val="center"/>
            </w:pPr>
            <w:r>
              <w:rPr>
                <w:sz w:val="20"/>
              </w:rPr>
              <w:t xml:space="preserve">отклонение, превышающее допустимое (возможное) отклонение </w:t>
            </w:r>
            <w:hyperlink w:history="0" w:anchor="P1827" w:tooltip="&lt;8&gt; Рассчитывается при формировании отчета за год как разница показателей граф 10, 12 и 13.">
              <w:r>
                <w:rPr>
                  <w:sz w:val="20"/>
                  <w:color w:val="0000ff"/>
                </w:rPr>
                <w:t xml:space="preserve">&lt;8&gt;</w:t>
              </w:r>
            </w:hyperlink>
          </w:p>
        </w:tc>
        <w:tc>
          <w:tcPr>
            <w:tcW w:w="794" w:type="dxa"/>
            <w:tcBorders>
              <w:right w:val="nil"/>
            </w:tcBorders>
            <w:vMerge w:val="restart"/>
          </w:tcPr>
          <w:p>
            <w:pPr>
              <w:pStyle w:val="0"/>
              <w:jc w:val="center"/>
            </w:pPr>
            <w:r>
              <w:rPr>
                <w:sz w:val="20"/>
              </w:rPr>
              <w:t xml:space="preserve">причина отклонения</w:t>
            </w:r>
          </w:p>
        </w:tc>
      </w:tr>
      <w:tr>
        <w:tc>
          <w:tcPr>
            <w:tcBorders>
              <w:left w:val="nil"/>
            </w:tcBorders>
            <w:vMerge w:val="continue"/>
          </w:tcPr>
          <w:p/>
        </w:tc>
        <w:tc>
          <w:tcPr>
            <w:gridSpan w:val="3"/>
            <w:vMerge w:val="continue"/>
          </w:tcPr>
          <w:p/>
        </w:tc>
        <w:tc>
          <w:tcPr>
            <w:gridSpan w:val="2"/>
            <w:vMerge w:val="continue"/>
          </w:tcPr>
          <w:p/>
        </w:tc>
        <w:tc>
          <w:tcPr>
            <w:vMerge w:val="continue"/>
          </w:tcPr>
          <w:p/>
        </w:tc>
        <w:tc>
          <w:tcPr>
            <w:tcW w:w="680" w:type="dxa"/>
            <w:vMerge w:val="restart"/>
          </w:tcPr>
          <w:p>
            <w:pPr>
              <w:pStyle w:val="0"/>
              <w:jc w:val="center"/>
            </w:pPr>
            <w:r>
              <w:rPr>
                <w:sz w:val="20"/>
              </w:rPr>
              <w:t xml:space="preserve">наименование </w:t>
            </w:r>
            <w:hyperlink w:history="0" w:anchor="P1821" w:tooltip="&lt;4&gt; Формируется в соответствии с государственным заданием.">
              <w:r>
                <w:rPr>
                  <w:sz w:val="20"/>
                  <w:color w:val="0000ff"/>
                </w:rPr>
                <w:t xml:space="preserve">&lt;4&gt;</w:t>
              </w:r>
            </w:hyperlink>
          </w:p>
        </w:tc>
        <w:tc>
          <w:tcPr>
            <w:tcW w:w="707" w:type="dxa"/>
            <w:vMerge w:val="restart"/>
          </w:tcPr>
          <w:p>
            <w:pPr>
              <w:pStyle w:val="0"/>
              <w:jc w:val="center"/>
            </w:pPr>
            <w:r>
              <w:rPr>
                <w:sz w:val="20"/>
              </w:rPr>
              <w:t xml:space="preserve">код по </w:t>
            </w:r>
            <w:hyperlink w:history="0" r:id="rId6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821" w:tooltip="&lt;4&gt; Формируется в соответствии с государственным заданием.">
              <w:r>
                <w:rPr>
                  <w:sz w:val="20"/>
                  <w:color w:val="0000ff"/>
                </w:rPr>
                <w:t xml:space="preserve">&lt;4&gt;</w:t>
              </w:r>
            </w:hyperlink>
          </w:p>
        </w:tc>
        <w:tc>
          <w:tcPr>
            <w:tcW w:w="907" w:type="dxa"/>
            <w:vMerge w:val="restart"/>
          </w:tcPr>
          <w:p>
            <w:pPr>
              <w:pStyle w:val="0"/>
              <w:jc w:val="center"/>
            </w:pPr>
            <w:r>
              <w:rPr>
                <w:sz w:val="20"/>
              </w:rPr>
              <w:t xml:space="preserve">утверждено в государственном задании на год </w:t>
            </w:r>
            <w:hyperlink w:history="0" w:anchor="P1821" w:tooltip="&lt;4&gt; Формируется в соответствии с государственным заданием.">
              <w:r>
                <w:rPr>
                  <w:sz w:val="20"/>
                  <w:color w:val="0000ff"/>
                </w:rPr>
                <w:t xml:space="preserve">&lt;4&gt;</w:t>
              </w:r>
            </w:hyperlink>
          </w:p>
        </w:tc>
        <w:tc>
          <w:tcPr>
            <w:tcW w:w="1077" w:type="dxa"/>
            <w:vMerge w:val="restart"/>
          </w:tcPr>
          <w:p>
            <w:pPr>
              <w:pStyle w:val="0"/>
              <w:jc w:val="center"/>
            </w:pPr>
            <w:r>
              <w:rPr>
                <w:sz w:val="20"/>
              </w:rPr>
              <w:t xml:space="preserve">утверждено в государственном задании на отчетную дату </w:t>
            </w:r>
            <w:hyperlink w:history="0" w:anchor="P182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794" w:type="dxa"/>
            <w:vMerge w:val="restart"/>
          </w:tcPr>
          <w:p>
            <w:pPr>
              <w:pStyle w:val="0"/>
              <w:jc w:val="center"/>
            </w:pPr>
            <w:r>
              <w:rPr>
                <w:sz w:val="20"/>
              </w:rPr>
              <w:t xml:space="preserve">исполнено на отчетную дату </w:t>
            </w:r>
            <w:hyperlink w:history="0" w:anchor="P182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vMerge w:val="continue"/>
          </w:tcPr>
          <w:p/>
        </w:tc>
        <w:tc>
          <w:tcPr>
            <w:vMerge w:val="continue"/>
          </w:tcPr>
          <w:p/>
        </w:tc>
        <w:tc>
          <w:tcPr>
            <w:tcBorders>
              <w:right w:val="nil"/>
            </w:tcBorders>
            <w:vMerge w:val="continue"/>
          </w:tcPr>
          <w:p/>
        </w:tc>
      </w:tr>
      <w:tr>
        <w:tc>
          <w:tcPr>
            <w:tcBorders>
              <w:left w:val="nil"/>
            </w:tcBorders>
            <w:vMerge w:val="continue"/>
          </w:tcPr>
          <w:p/>
        </w:tc>
        <w:tc>
          <w:tcPr>
            <w:tcW w:w="680"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850" w:type="dxa"/>
            <w:tcBorders>
              <w:left w:val="nil"/>
            </w:tcBorders>
          </w:tcPr>
          <w:p>
            <w:pPr>
              <w:pStyle w:val="0"/>
              <w:jc w:val="center"/>
            </w:pPr>
            <w:r>
              <w:rPr>
                <w:sz w:val="20"/>
              </w:rPr>
              <w:t xml:space="preserve">1</w:t>
            </w:r>
          </w:p>
        </w:tc>
        <w:tc>
          <w:tcPr>
            <w:tcW w:w="680" w:type="dxa"/>
          </w:tcPr>
          <w:p>
            <w:pPr>
              <w:pStyle w:val="0"/>
              <w:jc w:val="center"/>
            </w:pPr>
            <w:r>
              <w:rPr>
                <w:sz w:val="20"/>
              </w:rPr>
              <w:t xml:space="preserve">2</w:t>
            </w:r>
          </w:p>
        </w:tc>
        <w:tc>
          <w:tcPr>
            <w:tcW w:w="680" w:type="dxa"/>
          </w:tcPr>
          <w:p>
            <w:pPr>
              <w:pStyle w:val="0"/>
              <w:jc w:val="center"/>
            </w:pPr>
            <w:r>
              <w:rPr>
                <w:sz w:val="20"/>
              </w:rPr>
              <w:t xml:space="preserve">3</w:t>
            </w:r>
          </w:p>
        </w:tc>
        <w:tc>
          <w:tcPr>
            <w:tcW w:w="680" w:type="dxa"/>
          </w:tcPr>
          <w:p>
            <w:pPr>
              <w:pStyle w:val="0"/>
              <w:jc w:val="center"/>
            </w:pPr>
            <w:r>
              <w:rPr>
                <w:sz w:val="20"/>
              </w:rPr>
              <w:t xml:space="preserve">4</w:t>
            </w:r>
          </w:p>
        </w:tc>
        <w:tc>
          <w:tcPr>
            <w:tcW w:w="794" w:type="dxa"/>
          </w:tcPr>
          <w:p>
            <w:pPr>
              <w:pStyle w:val="0"/>
              <w:jc w:val="center"/>
            </w:pPr>
            <w:r>
              <w:rPr>
                <w:sz w:val="20"/>
              </w:rPr>
              <w:t xml:space="preserve">5</w:t>
            </w:r>
          </w:p>
        </w:tc>
        <w:tc>
          <w:tcPr>
            <w:tcW w:w="794" w:type="dxa"/>
          </w:tcPr>
          <w:p>
            <w:pPr>
              <w:pStyle w:val="0"/>
              <w:jc w:val="center"/>
            </w:pPr>
            <w:r>
              <w:rPr>
                <w:sz w:val="20"/>
              </w:rPr>
              <w:t xml:space="preserve">6</w:t>
            </w:r>
          </w:p>
        </w:tc>
        <w:tc>
          <w:tcPr>
            <w:tcW w:w="680" w:type="dxa"/>
          </w:tcPr>
          <w:p>
            <w:pPr>
              <w:pStyle w:val="0"/>
              <w:jc w:val="center"/>
            </w:pPr>
            <w:r>
              <w:rPr>
                <w:sz w:val="20"/>
              </w:rPr>
              <w:t xml:space="preserve">7</w:t>
            </w:r>
          </w:p>
        </w:tc>
        <w:tc>
          <w:tcPr>
            <w:tcW w:w="680" w:type="dxa"/>
          </w:tcPr>
          <w:bookmarkStart w:id="1365" w:name="P1365"/>
          <w:bookmarkEnd w:id="1365"/>
          <w:p>
            <w:pPr>
              <w:pStyle w:val="0"/>
              <w:jc w:val="center"/>
            </w:pPr>
            <w:r>
              <w:rPr>
                <w:sz w:val="20"/>
              </w:rPr>
              <w:t xml:space="preserve">8</w:t>
            </w:r>
          </w:p>
        </w:tc>
        <w:tc>
          <w:tcPr>
            <w:tcW w:w="707" w:type="dxa"/>
          </w:tcPr>
          <w:p>
            <w:pPr>
              <w:pStyle w:val="0"/>
              <w:jc w:val="center"/>
            </w:pPr>
            <w:r>
              <w:rPr>
                <w:sz w:val="20"/>
              </w:rPr>
              <w:t xml:space="preserve">9</w:t>
            </w:r>
          </w:p>
        </w:tc>
        <w:tc>
          <w:tcPr>
            <w:tcW w:w="907" w:type="dxa"/>
          </w:tcPr>
          <w:bookmarkStart w:id="1367" w:name="P1367"/>
          <w:bookmarkEnd w:id="1367"/>
          <w:p>
            <w:pPr>
              <w:pStyle w:val="0"/>
              <w:jc w:val="center"/>
            </w:pPr>
            <w:r>
              <w:rPr>
                <w:sz w:val="20"/>
              </w:rPr>
              <w:t xml:space="preserve">10</w:t>
            </w:r>
          </w:p>
        </w:tc>
        <w:tc>
          <w:tcPr>
            <w:tcW w:w="1077" w:type="dxa"/>
          </w:tcPr>
          <w:p>
            <w:pPr>
              <w:pStyle w:val="0"/>
              <w:jc w:val="center"/>
            </w:pPr>
            <w:r>
              <w:rPr>
                <w:sz w:val="20"/>
              </w:rPr>
              <w:t xml:space="preserve">11</w:t>
            </w:r>
          </w:p>
        </w:tc>
        <w:tc>
          <w:tcPr>
            <w:tcW w:w="794" w:type="dxa"/>
          </w:tcPr>
          <w:bookmarkStart w:id="1369" w:name="P1369"/>
          <w:bookmarkEnd w:id="1369"/>
          <w:p>
            <w:pPr>
              <w:pStyle w:val="0"/>
              <w:jc w:val="center"/>
            </w:pPr>
            <w:r>
              <w:rPr>
                <w:sz w:val="20"/>
              </w:rPr>
              <w:t xml:space="preserve">12</w:t>
            </w:r>
          </w:p>
        </w:tc>
        <w:tc>
          <w:tcPr>
            <w:tcW w:w="737" w:type="dxa"/>
          </w:tcPr>
          <w:bookmarkStart w:id="1370" w:name="P1370"/>
          <w:bookmarkEnd w:id="1370"/>
          <w:p>
            <w:pPr>
              <w:pStyle w:val="0"/>
              <w:jc w:val="center"/>
            </w:pPr>
            <w:r>
              <w:rPr>
                <w:sz w:val="20"/>
              </w:rPr>
              <w:t xml:space="preserve">13</w:t>
            </w:r>
          </w:p>
        </w:tc>
        <w:tc>
          <w:tcPr>
            <w:tcW w:w="850" w:type="dxa"/>
          </w:tcPr>
          <w:p>
            <w:pPr>
              <w:pStyle w:val="0"/>
              <w:jc w:val="center"/>
            </w:pPr>
            <w:r>
              <w:rPr>
                <w:sz w:val="20"/>
              </w:rPr>
              <w:t xml:space="preserve">14</w:t>
            </w:r>
          </w:p>
        </w:tc>
        <w:tc>
          <w:tcPr>
            <w:tcW w:w="794" w:type="dxa"/>
            <w:tcBorders>
              <w:right w:val="nil"/>
            </w:tcBorders>
          </w:tcPr>
          <w:p>
            <w:pPr>
              <w:pStyle w:val="0"/>
              <w:jc w:val="center"/>
            </w:pPr>
            <w:r>
              <w:rPr>
                <w:sz w:val="20"/>
              </w:rPr>
              <w:t xml:space="preserve">15</w:t>
            </w:r>
          </w:p>
        </w:tc>
      </w:tr>
      <w:tr>
        <w:tc>
          <w:tcPr>
            <w:tcW w:w="850" w:type="dxa"/>
            <w:tcBorders>
              <w:left w:val="nil"/>
            </w:tcBorders>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794" w:type="dxa"/>
            <w:vMerge w:val="restart"/>
          </w:tcPr>
          <w:p>
            <w:pPr>
              <w:pStyle w:val="0"/>
            </w:pPr>
            <w:r>
              <w:rPr>
                <w:sz w:val="20"/>
              </w:rPr>
            </w:r>
          </w:p>
        </w:tc>
        <w:tc>
          <w:tcPr>
            <w:tcW w:w="794" w:type="dxa"/>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94"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94" w:type="dxa"/>
            <w:tcBorders>
              <w:right w:val="nil"/>
            </w:tcBorders>
          </w:tcPr>
          <w:p>
            <w:pPr>
              <w:pStyle w:val="0"/>
            </w:pPr>
            <w:r>
              <w:rPr>
                <w:sz w:val="20"/>
              </w:rPr>
            </w:r>
          </w:p>
        </w:tc>
      </w:tr>
      <w:tr>
        <w:tc>
          <w:tcPr>
            <w:tcW w:w="850" w:type="dxa"/>
            <w:tcBorders>
              <w:left w:val="nil"/>
            </w:tcBorders>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94" w:type="dxa"/>
            <w:tcBorders>
              <w:right w:val="nil"/>
            </w:tcBorders>
          </w:tcPr>
          <w:p>
            <w:pPr>
              <w:pStyle w:val="0"/>
            </w:pPr>
            <w:r>
              <w:rPr>
                <w:sz w:val="20"/>
              </w:rPr>
            </w:r>
          </w:p>
        </w:tc>
      </w:tr>
    </w:tbl>
    <w:p>
      <w:pPr>
        <w:pStyle w:val="0"/>
        <w:jc w:val="both"/>
      </w:pPr>
      <w:r>
        <w:rPr>
          <w:sz w:val="20"/>
        </w:rPr>
      </w:r>
    </w:p>
    <w:p>
      <w:pPr>
        <w:pStyle w:val="1"/>
        <w:jc w:val="both"/>
      </w:pPr>
      <w:r>
        <w:rPr>
          <w:sz w:val="20"/>
        </w:rPr>
        <w:t xml:space="preserve">3.2.  Сведения  о фактическом достижении показателей, характеризующих объем</w:t>
      </w:r>
    </w:p>
    <w:p>
      <w:pPr>
        <w:pStyle w:val="1"/>
        <w:jc w:val="both"/>
      </w:pPr>
      <w:r>
        <w:rPr>
          <w:sz w:val="20"/>
        </w:rPr>
        <w:t xml:space="preserve">государственной услуги</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850"/>
        <w:gridCol w:w="680"/>
        <w:gridCol w:w="680"/>
        <w:gridCol w:w="680"/>
        <w:gridCol w:w="794"/>
        <w:gridCol w:w="794"/>
        <w:gridCol w:w="680"/>
        <w:gridCol w:w="680"/>
        <w:gridCol w:w="707"/>
        <w:gridCol w:w="680"/>
        <w:gridCol w:w="964"/>
        <w:gridCol w:w="624"/>
        <w:gridCol w:w="680"/>
        <w:gridCol w:w="794"/>
        <w:gridCol w:w="709"/>
        <w:gridCol w:w="788"/>
      </w:tblGrid>
      <w:tr>
        <w:tc>
          <w:tcPr>
            <w:tcW w:w="850" w:type="dxa"/>
            <w:tcBorders>
              <w:left w:val="nil"/>
            </w:tcBorders>
            <w:vMerge w:val="restart"/>
          </w:tcPr>
          <w:p>
            <w:pPr>
              <w:pStyle w:val="0"/>
              <w:jc w:val="center"/>
            </w:pPr>
            <w:r>
              <w:rPr>
                <w:sz w:val="20"/>
              </w:rPr>
              <w:t xml:space="preserve">Уникальный номер реестровой записи </w:t>
            </w:r>
            <w:hyperlink w:history="0" w:anchor="P1821" w:tooltip="&lt;4&gt; Формируется в соответствии с государственным заданием.">
              <w:r>
                <w:rPr>
                  <w:sz w:val="20"/>
                  <w:color w:val="0000ff"/>
                </w:rPr>
                <w:t xml:space="preserve">&lt;4&gt;</w:t>
              </w:r>
            </w:hyperlink>
          </w:p>
        </w:tc>
        <w:tc>
          <w:tcPr>
            <w:gridSpan w:val="3"/>
            <w:tcW w:w="2040" w:type="dxa"/>
            <w:vMerge w:val="restart"/>
          </w:tcPr>
          <w:p>
            <w:pPr>
              <w:pStyle w:val="0"/>
              <w:jc w:val="center"/>
            </w:pPr>
            <w:r>
              <w:rPr>
                <w:sz w:val="20"/>
              </w:rPr>
              <w:t xml:space="preserve">Показатель, характеризующий содержание государственной услуги</w:t>
            </w:r>
          </w:p>
        </w:tc>
        <w:tc>
          <w:tcPr>
            <w:gridSpan w:val="2"/>
            <w:tcW w:w="1588" w:type="dxa"/>
            <w:vMerge w:val="restart"/>
          </w:tcPr>
          <w:p>
            <w:pPr>
              <w:pStyle w:val="0"/>
              <w:jc w:val="center"/>
            </w:pPr>
            <w:r>
              <w:rPr>
                <w:sz w:val="20"/>
              </w:rPr>
              <w:t xml:space="preserve">Показатель, характеризующий условия (формы) оказания государственной услуги</w:t>
            </w:r>
          </w:p>
        </w:tc>
        <w:tc>
          <w:tcPr>
            <w:gridSpan w:val="9"/>
            <w:tcW w:w="6518" w:type="dxa"/>
          </w:tcPr>
          <w:p>
            <w:pPr>
              <w:pStyle w:val="0"/>
              <w:jc w:val="center"/>
            </w:pPr>
            <w:r>
              <w:rPr>
                <w:sz w:val="20"/>
              </w:rPr>
              <w:t xml:space="preserve">Показатель объема государственной услуги</w:t>
            </w:r>
          </w:p>
        </w:tc>
        <w:tc>
          <w:tcPr>
            <w:tcW w:w="788" w:type="dxa"/>
            <w:tcBorders>
              <w:right w:val="nil"/>
            </w:tcBorders>
            <w:vMerge w:val="restart"/>
          </w:tcPr>
          <w:p>
            <w:pPr>
              <w:pStyle w:val="0"/>
              <w:jc w:val="center"/>
            </w:pPr>
            <w:r>
              <w:rPr>
                <w:sz w:val="20"/>
              </w:rPr>
              <w:t xml:space="preserve">Размер платы (цена, тариф)</w:t>
            </w:r>
          </w:p>
        </w:tc>
      </w:tr>
      <w:tr>
        <w:tc>
          <w:tcPr>
            <w:tcBorders>
              <w:left w:val="nil"/>
            </w:tcBorders>
            <w:vMerge w:val="continue"/>
          </w:tcPr>
          <w:p/>
        </w:tc>
        <w:tc>
          <w:tcPr>
            <w:gridSpan w:val="3"/>
            <w:vMerge w:val="continue"/>
          </w:tcPr>
          <w:p/>
        </w:tc>
        <w:tc>
          <w:tcPr>
            <w:gridSpan w:val="2"/>
            <w:vMerge w:val="continue"/>
          </w:tcPr>
          <w:p/>
        </w:tc>
        <w:tc>
          <w:tcPr>
            <w:tcW w:w="680" w:type="dxa"/>
            <w:vMerge w:val="restart"/>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gridSpan w:val="2"/>
            <w:tcW w:w="1387" w:type="dxa"/>
          </w:tcPr>
          <w:p>
            <w:pPr>
              <w:pStyle w:val="0"/>
              <w:jc w:val="center"/>
            </w:pPr>
            <w:r>
              <w:rPr>
                <w:sz w:val="20"/>
              </w:rPr>
              <w:t xml:space="preserve">единица измерения</w:t>
            </w:r>
          </w:p>
        </w:tc>
        <w:tc>
          <w:tcPr>
            <w:gridSpan w:val="3"/>
            <w:tcW w:w="2268" w:type="dxa"/>
          </w:tcPr>
          <w:p>
            <w:pPr>
              <w:pStyle w:val="0"/>
              <w:jc w:val="center"/>
            </w:pPr>
            <w:r>
              <w:rPr>
                <w:sz w:val="20"/>
              </w:rPr>
              <w:t xml:space="preserve">значение</w:t>
            </w:r>
          </w:p>
        </w:tc>
        <w:tc>
          <w:tcPr>
            <w:tcW w:w="680" w:type="dxa"/>
            <w:vMerge w:val="restart"/>
          </w:tcPr>
          <w:p>
            <w:pPr>
              <w:pStyle w:val="0"/>
              <w:jc w:val="center"/>
            </w:pPr>
            <w:r>
              <w:rPr>
                <w:sz w:val="20"/>
              </w:rPr>
              <w:t xml:space="preserve">допустимое (возможное) отклонение </w:t>
            </w:r>
            <w:hyperlink w:history="0" w:anchor="P182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794" w:type="dxa"/>
            <w:vMerge w:val="restart"/>
          </w:tcPr>
          <w:p>
            <w:pPr>
              <w:pStyle w:val="0"/>
              <w:jc w:val="center"/>
            </w:pPr>
            <w:r>
              <w:rPr>
                <w:sz w:val="20"/>
              </w:rPr>
              <w:t xml:space="preserve">отклонение, превышающее допустимое (возможное) отклонение </w:t>
            </w:r>
            <w:hyperlink w:history="0" w:anchor="P1827" w:tooltip="&lt;8&gt; Рассчитывается при формировании отчета за год как разница показателей граф 10, 12 и 13.">
              <w:r>
                <w:rPr>
                  <w:sz w:val="20"/>
                  <w:color w:val="0000ff"/>
                </w:rPr>
                <w:t xml:space="preserve">&lt;8&gt;</w:t>
              </w:r>
            </w:hyperlink>
          </w:p>
        </w:tc>
        <w:tc>
          <w:tcPr>
            <w:tcW w:w="709" w:type="dxa"/>
            <w:vMerge w:val="restart"/>
          </w:tcPr>
          <w:p>
            <w:pPr>
              <w:pStyle w:val="0"/>
              <w:jc w:val="center"/>
            </w:pPr>
            <w:r>
              <w:rPr>
                <w:sz w:val="20"/>
              </w:rPr>
              <w:t xml:space="preserve">причина отклонения</w:t>
            </w:r>
          </w:p>
        </w:tc>
        <w:tc>
          <w:tcPr>
            <w:tcBorders>
              <w:right w:val="nil"/>
            </w:tcBorders>
            <w:vMerge w:val="continue"/>
          </w:tcPr>
          <w:p/>
        </w:tc>
      </w:tr>
      <w:tr>
        <w:tc>
          <w:tcPr>
            <w:tcBorders>
              <w:left w:val="nil"/>
            </w:tcBorders>
            <w:vMerge w:val="continue"/>
          </w:tcPr>
          <w:p/>
        </w:tc>
        <w:tc>
          <w:tcPr>
            <w:gridSpan w:val="3"/>
            <w:vMerge w:val="continue"/>
          </w:tcPr>
          <w:p/>
        </w:tc>
        <w:tc>
          <w:tcPr>
            <w:gridSpan w:val="2"/>
            <w:vMerge w:val="continue"/>
          </w:tcPr>
          <w:p/>
        </w:tc>
        <w:tc>
          <w:tcPr>
            <w:vMerge w:val="continue"/>
          </w:tcPr>
          <w:p/>
        </w:tc>
        <w:tc>
          <w:tcPr>
            <w:tcW w:w="680" w:type="dxa"/>
            <w:vMerge w:val="restart"/>
          </w:tcPr>
          <w:p>
            <w:pPr>
              <w:pStyle w:val="0"/>
              <w:jc w:val="center"/>
            </w:pPr>
            <w:r>
              <w:rPr>
                <w:sz w:val="20"/>
              </w:rPr>
              <w:t xml:space="preserve">наименование </w:t>
            </w:r>
            <w:hyperlink w:history="0" w:anchor="P1821" w:tooltip="&lt;4&gt; Формируется в соответствии с государственным заданием.">
              <w:r>
                <w:rPr>
                  <w:sz w:val="20"/>
                  <w:color w:val="0000ff"/>
                </w:rPr>
                <w:t xml:space="preserve">&lt;4&gt;</w:t>
              </w:r>
            </w:hyperlink>
          </w:p>
        </w:tc>
        <w:tc>
          <w:tcPr>
            <w:tcW w:w="707" w:type="dxa"/>
            <w:vMerge w:val="restart"/>
          </w:tcPr>
          <w:p>
            <w:pPr>
              <w:pStyle w:val="0"/>
              <w:jc w:val="center"/>
            </w:pPr>
            <w:r>
              <w:rPr>
                <w:sz w:val="20"/>
              </w:rPr>
              <w:t xml:space="preserve">код по </w:t>
            </w:r>
            <w:hyperlink w:history="0" r:id="rId70"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821" w:tooltip="&lt;4&gt; Формируется в соответствии с государственным заданием.">
              <w:r>
                <w:rPr>
                  <w:sz w:val="20"/>
                  <w:color w:val="0000ff"/>
                </w:rPr>
                <w:t xml:space="preserve">&lt;4&gt;</w:t>
              </w:r>
            </w:hyperlink>
          </w:p>
        </w:tc>
        <w:tc>
          <w:tcPr>
            <w:tcW w:w="680" w:type="dxa"/>
            <w:vMerge w:val="restart"/>
          </w:tcPr>
          <w:p>
            <w:pPr>
              <w:pStyle w:val="0"/>
              <w:jc w:val="center"/>
            </w:pPr>
            <w:r>
              <w:rPr>
                <w:sz w:val="20"/>
              </w:rPr>
              <w:t xml:space="preserve">утверждено в государственном задании на год </w:t>
            </w:r>
            <w:hyperlink w:history="0" w:anchor="P1821" w:tooltip="&lt;4&gt; Формируется в соответствии с государственным заданием.">
              <w:r>
                <w:rPr>
                  <w:sz w:val="20"/>
                  <w:color w:val="0000ff"/>
                </w:rPr>
                <w:t xml:space="preserve">&lt;4&gt;</w:t>
              </w:r>
            </w:hyperlink>
          </w:p>
        </w:tc>
        <w:tc>
          <w:tcPr>
            <w:tcW w:w="964" w:type="dxa"/>
            <w:vMerge w:val="restart"/>
          </w:tcPr>
          <w:p>
            <w:pPr>
              <w:pStyle w:val="0"/>
              <w:jc w:val="center"/>
            </w:pPr>
            <w:r>
              <w:rPr>
                <w:sz w:val="20"/>
              </w:rPr>
              <w:t xml:space="preserve">утверждено в государственном задании на отчетную дату </w:t>
            </w:r>
            <w:hyperlink w:history="0" w:anchor="P182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624" w:type="dxa"/>
            <w:vMerge w:val="restart"/>
          </w:tcPr>
          <w:p>
            <w:pPr>
              <w:pStyle w:val="0"/>
              <w:jc w:val="center"/>
            </w:pPr>
            <w:r>
              <w:rPr>
                <w:sz w:val="20"/>
              </w:rPr>
              <w:t xml:space="preserve">исполнено на отчетную дату </w:t>
            </w:r>
            <w:hyperlink w:history="0" w:anchor="P182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tcW w:w="680"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850" w:type="dxa"/>
            <w:tcBorders>
              <w:left w:val="nil"/>
            </w:tcBorders>
          </w:tcPr>
          <w:p>
            <w:pPr>
              <w:pStyle w:val="0"/>
              <w:jc w:val="center"/>
            </w:pPr>
            <w:r>
              <w:rPr>
                <w:sz w:val="20"/>
              </w:rPr>
              <w:t xml:space="preserve">1</w:t>
            </w:r>
          </w:p>
        </w:tc>
        <w:tc>
          <w:tcPr>
            <w:tcW w:w="680" w:type="dxa"/>
          </w:tcPr>
          <w:p>
            <w:pPr>
              <w:pStyle w:val="0"/>
              <w:jc w:val="center"/>
            </w:pPr>
            <w:r>
              <w:rPr>
                <w:sz w:val="20"/>
              </w:rPr>
              <w:t xml:space="preserve">2</w:t>
            </w:r>
          </w:p>
        </w:tc>
        <w:tc>
          <w:tcPr>
            <w:tcW w:w="680" w:type="dxa"/>
          </w:tcPr>
          <w:p>
            <w:pPr>
              <w:pStyle w:val="0"/>
              <w:jc w:val="center"/>
            </w:pPr>
            <w:r>
              <w:rPr>
                <w:sz w:val="20"/>
              </w:rPr>
              <w:t xml:space="preserve">3</w:t>
            </w:r>
          </w:p>
        </w:tc>
        <w:tc>
          <w:tcPr>
            <w:tcW w:w="680" w:type="dxa"/>
          </w:tcPr>
          <w:p>
            <w:pPr>
              <w:pStyle w:val="0"/>
              <w:jc w:val="center"/>
            </w:pPr>
            <w:r>
              <w:rPr>
                <w:sz w:val="20"/>
              </w:rPr>
              <w:t xml:space="preserve">4</w:t>
            </w:r>
          </w:p>
        </w:tc>
        <w:tc>
          <w:tcPr>
            <w:tcW w:w="794" w:type="dxa"/>
          </w:tcPr>
          <w:p>
            <w:pPr>
              <w:pStyle w:val="0"/>
              <w:jc w:val="center"/>
            </w:pPr>
            <w:r>
              <w:rPr>
                <w:sz w:val="20"/>
              </w:rPr>
              <w:t xml:space="preserve">5</w:t>
            </w:r>
          </w:p>
        </w:tc>
        <w:tc>
          <w:tcPr>
            <w:tcW w:w="794" w:type="dxa"/>
          </w:tcPr>
          <w:p>
            <w:pPr>
              <w:pStyle w:val="0"/>
              <w:jc w:val="center"/>
            </w:pPr>
            <w:r>
              <w:rPr>
                <w:sz w:val="20"/>
              </w:rPr>
              <w:t xml:space="preserve">6</w:t>
            </w:r>
          </w:p>
        </w:tc>
        <w:tc>
          <w:tcPr>
            <w:tcW w:w="680" w:type="dxa"/>
          </w:tcPr>
          <w:p>
            <w:pPr>
              <w:pStyle w:val="0"/>
              <w:jc w:val="center"/>
            </w:pPr>
            <w:r>
              <w:rPr>
                <w:sz w:val="20"/>
              </w:rPr>
              <w:t xml:space="preserve">7</w:t>
            </w:r>
          </w:p>
        </w:tc>
        <w:tc>
          <w:tcPr>
            <w:tcW w:w="680" w:type="dxa"/>
          </w:tcPr>
          <w:p>
            <w:pPr>
              <w:pStyle w:val="0"/>
              <w:jc w:val="center"/>
            </w:pPr>
            <w:r>
              <w:rPr>
                <w:sz w:val="20"/>
              </w:rPr>
              <w:t xml:space="preserve">8</w:t>
            </w:r>
          </w:p>
        </w:tc>
        <w:tc>
          <w:tcPr>
            <w:tcW w:w="707" w:type="dxa"/>
          </w:tcPr>
          <w:p>
            <w:pPr>
              <w:pStyle w:val="0"/>
              <w:jc w:val="center"/>
            </w:pPr>
            <w:r>
              <w:rPr>
                <w:sz w:val="20"/>
              </w:rPr>
              <w:t xml:space="preserve">9</w:t>
            </w:r>
          </w:p>
        </w:tc>
        <w:tc>
          <w:tcPr>
            <w:tcW w:w="680" w:type="dxa"/>
          </w:tcPr>
          <w:p>
            <w:pPr>
              <w:pStyle w:val="0"/>
              <w:jc w:val="center"/>
            </w:pPr>
            <w:r>
              <w:rPr>
                <w:sz w:val="20"/>
              </w:rPr>
              <w:t xml:space="preserve">10</w:t>
            </w:r>
          </w:p>
        </w:tc>
        <w:tc>
          <w:tcPr>
            <w:tcW w:w="964" w:type="dxa"/>
          </w:tcPr>
          <w:p>
            <w:pPr>
              <w:pStyle w:val="0"/>
              <w:jc w:val="center"/>
            </w:pPr>
            <w:r>
              <w:rPr>
                <w:sz w:val="20"/>
              </w:rPr>
              <w:t xml:space="preserve">11</w:t>
            </w:r>
          </w:p>
        </w:tc>
        <w:tc>
          <w:tcPr>
            <w:tcW w:w="624" w:type="dxa"/>
          </w:tcPr>
          <w:p>
            <w:pPr>
              <w:pStyle w:val="0"/>
              <w:jc w:val="center"/>
            </w:pPr>
            <w:r>
              <w:rPr>
                <w:sz w:val="20"/>
              </w:rPr>
              <w:t xml:space="preserve">12</w:t>
            </w:r>
          </w:p>
        </w:tc>
        <w:tc>
          <w:tcPr>
            <w:tcW w:w="680" w:type="dxa"/>
          </w:tcPr>
          <w:p>
            <w:pPr>
              <w:pStyle w:val="0"/>
              <w:jc w:val="center"/>
            </w:pPr>
            <w:r>
              <w:rPr>
                <w:sz w:val="20"/>
              </w:rPr>
              <w:t xml:space="preserve">13</w:t>
            </w:r>
          </w:p>
        </w:tc>
        <w:tc>
          <w:tcPr>
            <w:tcW w:w="794" w:type="dxa"/>
          </w:tcPr>
          <w:p>
            <w:pPr>
              <w:pStyle w:val="0"/>
              <w:jc w:val="center"/>
            </w:pPr>
            <w:r>
              <w:rPr>
                <w:sz w:val="20"/>
              </w:rPr>
              <w:t xml:space="preserve">14</w:t>
            </w:r>
          </w:p>
        </w:tc>
        <w:tc>
          <w:tcPr>
            <w:tcW w:w="709" w:type="dxa"/>
          </w:tcPr>
          <w:p>
            <w:pPr>
              <w:pStyle w:val="0"/>
              <w:jc w:val="center"/>
            </w:pPr>
            <w:r>
              <w:rPr>
                <w:sz w:val="20"/>
              </w:rPr>
              <w:t xml:space="preserve">15</w:t>
            </w:r>
          </w:p>
        </w:tc>
        <w:tc>
          <w:tcPr>
            <w:tcW w:w="788" w:type="dxa"/>
            <w:tcBorders>
              <w:right w:val="nil"/>
            </w:tcBorders>
          </w:tcPr>
          <w:p>
            <w:pPr>
              <w:pStyle w:val="0"/>
              <w:jc w:val="center"/>
            </w:pPr>
            <w:r>
              <w:rPr>
                <w:sz w:val="20"/>
              </w:rPr>
              <w:t xml:space="preserve">16</w:t>
            </w:r>
          </w:p>
        </w:tc>
      </w:tr>
      <w:tr>
        <w:tc>
          <w:tcPr>
            <w:tcW w:w="850" w:type="dxa"/>
            <w:tcBorders>
              <w:left w:val="nil"/>
            </w:tcBorders>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794" w:type="dxa"/>
            <w:vMerge w:val="restart"/>
          </w:tcPr>
          <w:p>
            <w:pPr>
              <w:pStyle w:val="0"/>
            </w:pPr>
            <w:r>
              <w:rPr>
                <w:sz w:val="20"/>
              </w:rPr>
            </w:r>
          </w:p>
        </w:tc>
        <w:tc>
          <w:tcPr>
            <w:tcW w:w="794" w:type="dxa"/>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09" w:type="dxa"/>
          </w:tcPr>
          <w:p>
            <w:pPr>
              <w:pStyle w:val="0"/>
            </w:pPr>
            <w:r>
              <w:rPr>
                <w:sz w:val="20"/>
              </w:rPr>
            </w:r>
          </w:p>
        </w:tc>
        <w:tc>
          <w:tcPr>
            <w:tcW w:w="788"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09" w:type="dxa"/>
          </w:tcPr>
          <w:p>
            <w:pPr>
              <w:pStyle w:val="0"/>
            </w:pPr>
            <w:r>
              <w:rPr>
                <w:sz w:val="20"/>
              </w:rPr>
            </w:r>
          </w:p>
        </w:tc>
        <w:tc>
          <w:tcPr>
            <w:tcW w:w="788" w:type="dxa"/>
            <w:tcBorders>
              <w:right w:val="nil"/>
            </w:tcBorders>
          </w:tcPr>
          <w:p>
            <w:pPr>
              <w:pStyle w:val="0"/>
            </w:pPr>
            <w:r>
              <w:rPr>
                <w:sz w:val="20"/>
              </w:rPr>
            </w:r>
          </w:p>
        </w:tc>
      </w:tr>
      <w:tr>
        <w:tc>
          <w:tcPr>
            <w:tcW w:w="850" w:type="dxa"/>
            <w:tcBorders>
              <w:left w:val="nil"/>
            </w:tcBorders>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09" w:type="dxa"/>
          </w:tcPr>
          <w:p>
            <w:pPr>
              <w:pStyle w:val="0"/>
            </w:pPr>
            <w:r>
              <w:rPr>
                <w:sz w:val="20"/>
              </w:rPr>
            </w:r>
          </w:p>
        </w:tc>
        <w:tc>
          <w:tcPr>
            <w:tcW w:w="788" w:type="dxa"/>
            <w:tcBorders>
              <w:right w:val="nil"/>
            </w:tcBorders>
          </w:tcPr>
          <w:p>
            <w:pPr>
              <w:pStyle w:val="0"/>
            </w:pPr>
            <w:r>
              <w:rPr>
                <w:sz w:val="20"/>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Часть II. Сведения о выполняемых работах </w:t>
      </w:r>
      <w:hyperlink w:history="0" w:anchor="P1820" w:tooltip="&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0"/>
            <w:color w:val="0000ff"/>
          </w:rPr>
          <w:t xml:space="preserve">&lt;3&gt;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2665"/>
        <w:gridCol w:w="1134"/>
        <w:gridCol w:w="2438"/>
        <w:gridCol w:w="1814"/>
        <w:gridCol w:w="985"/>
      </w:tblGrid>
      <w:tr>
        <w:tblPrEx>
          <w:tblBorders>
            <w:right w:val="single" w:sz="4"/>
          </w:tblBorders>
        </w:tblPrEx>
        <w:tc>
          <w:tcPr>
            <w:tcW w:w="2665" w:type="dxa"/>
            <w:vAlign w:val="bottom"/>
            <w:tcBorders>
              <w:top w:val="nil"/>
              <w:left w:val="nil"/>
              <w:bottom w:val="nil"/>
              <w:right w:val="nil"/>
            </w:tcBorders>
          </w:tcPr>
          <w:p>
            <w:pPr>
              <w:pStyle w:val="0"/>
              <w:jc w:val="both"/>
            </w:pPr>
            <w:r>
              <w:rPr>
                <w:sz w:val="20"/>
              </w:rPr>
              <w:t xml:space="preserve">1. Наименование работы</w:t>
            </w:r>
          </w:p>
        </w:tc>
        <w:tc>
          <w:tcPr>
            <w:gridSpan w:val="2"/>
            <w:tcW w:w="3572" w:type="dxa"/>
            <w:vAlign w:val="bottom"/>
            <w:tcBorders>
              <w:top w:val="nil"/>
              <w:left w:val="nil"/>
              <w:bottom w:val="single" w:sz="4"/>
              <w:right w:val="nil"/>
            </w:tcBorders>
          </w:tcPr>
          <w:p>
            <w:pPr>
              <w:pStyle w:val="0"/>
            </w:pPr>
            <w:r>
              <w:rPr>
                <w:sz w:val="20"/>
              </w:rPr>
            </w:r>
          </w:p>
        </w:tc>
        <w:tc>
          <w:tcPr>
            <w:tcW w:w="1814" w:type="dxa"/>
            <w:tcBorders>
              <w:top w:val="nil"/>
              <w:left w:val="nil"/>
              <w:bottom w:val="nil"/>
              <w:right w:val="nil"/>
            </w:tcBorders>
            <w:vMerge w:val="restart"/>
          </w:tcPr>
          <w:p>
            <w:pPr>
              <w:pStyle w:val="0"/>
              <w:jc w:val="right"/>
            </w:pPr>
            <w:r>
              <w:rPr>
                <w:sz w:val="20"/>
              </w:rPr>
              <w:t xml:space="preserve">Код по федеральному перечню</w:t>
            </w:r>
          </w:p>
        </w:tc>
        <w:tc>
          <w:tcPr>
            <w:tcW w:w="985" w:type="dxa"/>
            <w:vAlign w:val="bottom"/>
            <w:tcBorders>
              <w:top w:val="single" w:sz="4"/>
              <w:left w:val="single" w:sz="4"/>
              <w:bottom w:val="single" w:sz="4"/>
              <w:right w:val="single" w:sz="4"/>
            </w:tcBorders>
            <w:vMerge w:val="restart"/>
          </w:tcPr>
          <w:p>
            <w:pPr>
              <w:pStyle w:val="0"/>
            </w:pPr>
            <w:r>
              <w:rPr>
                <w:sz w:val="20"/>
              </w:rPr>
            </w:r>
          </w:p>
        </w:tc>
      </w:tr>
      <w:tr>
        <w:tblPrEx>
          <w:tblBorders>
            <w:right w:val="single" w:sz="4"/>
            <w:insideH w:val="single" w:sz="4"/>
          </w:tblBorders>
        </w:tblPrEx>
        <w:tc>
          <w:tcPr>
            <w:tcW w:w="2665" w:type="dxa"/>
            <w:vAlign w:val="bottom"/>
            <w:tcBorders>
              <w:top w:val="nil"/>
              <w:left w:val="nil"/>
              <w:bottom w:val="nil"/>
              <w:right w:val="nil"/>
            </w:tcBorders>
          </w:tcPr>
          <w:p>
            <w:pPr>
              <w:pStyle w:val="0"/>
            </w:pPr>
            <w:r>
              <w:rPr>
                <w:sz w:val="20"/>
              </w:rPr>
            </w:r>
          </w:p>
        </w:tc>
        <w:tc>
          <w:tcPr>
            <w:gridSpan w:val="2"/>
            <w:tcW w:w="3572" w:type="dxa"/>
            <w:vAlign w:val="bottom"/>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Borders>
              <w:top w:val="single" w:sz="4"/>
              <w:left w:val="single" w:sz="4"/>
              <w:bottom w:val="single" w:sz="4"/>
              <w:right w:val="single" w:sz="4"/>
            </w:tcBorders>
            <w:vMerge w:val="continue"/>
          </w:tcPr>
          <w:p/>
        </w:tc>
      </w:tr>
      <w:tr>
        <w:tc>
          <w:tcPr>
            <w:gridSpan w:val="2"/>
            <w:tcW w:w="3799" w:type="dxa"/>
            <w:vAlign w:val="center"/>
            <w:tcBorders>
              <w:top w:val="nil"/>
              <w:left w:val="nil"/>
              <w:bottom w:val="nil"/>
              <w:right w:val="nil"/>
            </w:tcBorders>
          </w:tcPr>
          <w:p>
            <w:pPr>
              <w:pStyle w:val="0"/>
              <w:jc w:val="both"/>
            </w:pPr>
            <w:r>
              <w:rPr>
                <w:sz w:val="20"/>
              </w:rPr>
              <w:t xml:space="preserve">2. Категории потребителей работы</w:t>
            </w:r>
          </w:p>
        </w:tc>
        <w:tc>
          <w:tcPr>
            <w:tcW w:w="2438" w:type="dxa"/>
            <w:vAlign w:val="center"/>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W w:w="985" w:type="dxa"/>
            <w:vAlign w:val="center"/>
            <w:tcBorders>
              <w:top w:val="single" w:sz="4"/>
              <w:left w:val="nil"/>
              <w:bottom w:val="nil"/>
              <w:right w:val="nil"/>
            </w:tcBorders>
          </w:tcPr>
          <w:p>
            <w:pPr>
              <w:pStyle w:val="0"/>
            </w:pPr>
            <w:r>
              <w:rPr>
                <w:sz w:val="20"/>
              </w:rPr>
            </w:r>
          </w:p>
        </w:tc>
      </w:tr>
      <w:tr>
        <w:tc>
          <w:tcPr>
            <w:gridSpan w:val="2"/>
            <w:tcW w:w="3799" w:type="dxa"/>
            <w:vAlign w:val="center"/>
            <w:tcBorders>
              <w:top w:val="nil"/>
              <w:left w:val="nil"/>
              <w:bottom w:val="nil"/>
              <w:right w:val="nil"/>
            </w:tcBorders>
          </w:tcPr>
          <w:p>
            <w:pPr>
              <w:pStyle w:val="0"/>
            </w:pPr>
            <w:r>
              <w:rPr>
                <w:sz w:val="20"/>
              </w:rPr>
            </w:r>
          </w:p>
        </w:tc>
        <w:tc>
          <w:tcPr>
            <w:tcW w:w="2438" w:type="dxa"/>
            <w:vAlign w:val="center"/>
            <w:tcBorders>
              <w:top w:val="single" w:sz="4"/>
              <w:left w:val="nil"/>
              <w:bottom w:val="single" w:sz="4"/>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985" w:type="dxa"/>
            <w:vAlign w:val="center"/>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Сведения  о фактическом достижении показателей, характеризующих объем и</w:t>
      </w:r>
    </w:p>
    <w:p>
      <w:pPr>
        <w:pStyle w:val="1"/>
        <w:jc w:val="both"/>
      </w:pPr>
      <w:r>
        <w:rPr>
          <w:sz w:val="20"/>
        </w:rPr>
        <w:t xml:space="preserve">(или) качество работы</w:t>
      </w:r>
    </w:p>
    <w:p>
      <w:pPr>
        <w:pStyle w:val="1"/>
        <w:jc w:val="both"/>
      </w:pPr>
      <w:r>
        <w:rPr>
          <w:sz w:val="20"/>
        </w:rPr>
      </w:r>
    </w:p>
    <w:p>
      <w:pPr>
        <w:pStyle w:val="1"/>
        <w:jc w:val="both"/>
      </w:pPr>
      <w:r>
        <w:rPr>
          <w:sz w:val="20"/>
        </w:rPr>
        <w:t xml:space="preserve">3.1.   Сведения   о  фактическом  достижении  показателей,  характеризующих</w:t>
      </w:r>
    </w:p>
    <w:p>
      <w:pPr>
        <w:pStyle w:val="1"/>
        <w:jc w:val="both"/>
      </w:pPr>
      <w:r>
        <w:rPr>
          <w:sz w:val="20"/>
        </w:rPr>
        <w:t xml:space="preserve">качество работы</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850"/>
        <w:gridCol w:w="680"/>
        <w:gridCol w:w="680"/>
        <w:gridCol w:w="680"/>
        <w:gridCol w:w="794"/>
        <w:gridCol w:w="794"/>
        <w:gridCol w:w="680"/>
        <w:gridCol w:w="680"/>
        <w:gridCol w:w="709"/>
        <w:gridCol w:w="680"/>
        <w:gridCol w:w="964"/>
        <w:gridCol w:w="624"/>
        <w:gridCol w:w="680"/>
        <w:gridCol w:w="794"/>
        <w:gridCol w:w="680"/>
      </w:tblGrid>
      <w:tr>
        <w:tc>
          <w:tcPr>
            <w:tcW w:w="850" w:type="dxa"/>
            <w:tcBorders>
              <w:left w:val="nil"/>
            </w:tcBorders>
            <w:vMerge w:val="restart"/>
          </w:tcPr>
          <w:p>
            <w:pPr>
              <w:pStyle w:val="0"/>
              <w:jc w:val="center"/>
            </w:pPr>
            <w:r>
              <w:rPr>
                <w:sz w:val="20"/>
              </w:rPr>
              <w:t xml:space="preserve">Уникальный номер реестровой записи </w:t>
            </w:r>
            <w:hyperlink w:history="0" w:anchor="P1821" w:tooltip="&lt;4&gt; Формируется в соответствии с государственным заданием.">
              <w:r>
                <w:rPr>
                  <w:sz w:val="20"/>
                  <w:color w:val="0000ff"/>
                </w:rPr>
                <w:t xml:space="preserve">&lt;4&gt;</w:t>
              </w:r>
            </w:hyperlink>
          </w:p>
        </w:tc>
        <w:tc>
          <w:tcPr>
            <w:gridSpan w:val="3"/>
            <w:tcW w:w="2040" w:type="dxa"/>
            <w:vMerge w:val="restart"/>
          </w:tcPr>
          <w:p>
            <w:pPr>
              <w:pStyle w:val="0"/>
              <w:jc w:val="center"/>
            </w:pPr>
            <w:r>
              <w:rPr>
                <w:sz w:val="20"/>
              </w:rPr>
              <w:t xml:space="preserve">Показатель, характеризующий содержание работы</w:t>
            </w:r>
          </w:p>
        </w:tc>
        <w:tc>
          <w:tcPr>
            <w:gridSpan w:val="2"/>
            <w:tcW w:w="1588" w:type="dxa"/>
            <w:vMerge w:val="restart"/>
          </w:tcPr>
          <w:p>
            <w:pPr>
              <w:pStyle w:val="0"/>
              <w:jc w:val="center"/>
            </w:pPr>
            <w:r>
              <w:rPr>
                <w:sz w:val="20"/>
              </w:rPr>
              <w:t xml:space="preserve">Показатель, характеризующий условия (формы) выполнения работы</w:t>
            </w:r>
          </w:p>
        </w:tc>
        <w:tc>
          <w:tcPr>
            <w:gridSpan w:val="9"/>
            <w:tcW w:w="6491" w:type="dxa"/>
            <w:tcBorders>
              <w:right w:val="nil"/>
            </w:tcBorders>
          </w:tcPr>
          <w:p>
            <w:pPr>
              <w:pStyle w:val="0"/>
              <w:jc w:val="center"/>
            </w:pPr>
            <w:r>
              <w:rPr>
                <w:sz w:val="20"/>
              </w:rPr>
              <w:t xml:space="preserve">Показатель качества работы</w:t>
            </w:r>
          </w:p>
        </w:tc>
      </w:tr>
      <w:tr>
        <w:tc>
          <w:tcPr>
            <w:tcBorders>
              <w:left w:val="nil"/>
            </w:tcBorders>
            <w:vMerge w:val="continue"/>
          </w:tcPr>
          <w:p/>
        </w:tc>
        <w:tc>
          <w:tcPr>
            <w:gridSpan w:val="3"/>
            <w:vMerge w:val="continue"/>
          </w:tcPr>
          <w:p/>
        </w:tc>
        <w:tc>
          <w:tcPr>
            <w:gridSpan w:val="2"/>
            <w:vMerge w:val="continue"/>
          </w:tcPr>
          <w:p/>
        </w:tc>
        <w:tc>
          <w:tcPr>
            <w:tcW w:w="680" w:type="dxa"/>
            <w:vMerge w:val="restart"/>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gridSpan w:val="2"/>
            <w:tcW w:w="1389" w:type="dxa"/>
          </w:tcPr>
          <w:p>
            <w:pPr>
              <w:pStyle w:val="0"/>
              <w:jc w:val="center"/>
            </w:pPr>
            <w:r>
              <w:rPr>
                <w:sz w:val="20"/>
              </w:rPr>
              <w:t xml:space="preserve">единица измерения</w:t>
            </w:r>
          </w:p>
        </w:tc>
        <w:tc>
          <w:tcPr>
            <w:gridSpan w:val="3"/>
            <w:tcW w:w="2268" w:type="dxa"/>
          </w:tcPr>
          <w:p>
            <w:pPr>
              <w:pStyle w:val="0"/>
              <w:jc w:val="center"/>
            </w:pPr>
            <w:r>
              <w:rPr>
                <w:sz w:val="20"/>
              </w:rPr>
              <w:t xml:space="preserve">значение</w:t>
            </w:r>
          </w:p>
        </w:tc>
        <w:tc>
          <w:tcPr>
            <w:tcW w:w="680" w:type="dxa"/>
            <w:vMerge w:val="restart"/>
          </w:tcPr>
          <w:p>
            <w:pPr>
              <w:pStyle w:val="0"/>
              <w:jc w:val="center"/>
            </w:pPr>
            <w:r>
              <w:rPr>
                <w:sz w:val="20"/>
              </w:rPr>
              <w:t xml:space="preserve">допустимое (возможное) отклонение </w:t>
            </w:r>
            <w:hyperlink w:history="0" w:anchor="P182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794" w:type="dxa"/>
            <w:vMerge w:val="restart"/>
          </w:tcPr>
          <w:p>
            <w:pPr>
              <w:pStyle w:val="0"/>
              <w:jc w:val="center"/>
            </w:pPr>
            <w:r>
              <w:rPr>
                <w:sz w:val="20"/>
              </w:rPr>
              <w:t xml:space="preserve">отклонение, превышающее допустимое (возможное) отклонение </w:t>
            </w:r>
            <w:hyperlink w:history="0" w:anchor="P1827" w:tooltip="&lt;8&gt; Рассчитывается при формировании отчета за год как разница показателей граф 10, 12 и 13.">
              <w:r>
                <w:rPr>
                  <w:sz w:val="20"/>
                  <w:color w:val="0000ff"/>
                </w:rPr>
                <w:t xml:space="preserve">&lt;8&gt;</w:t>
              </w:r>
            </w:hyperlink>
          </w:p>
        </w:tc>
        <w:tc>
          <w:tcPr>
            <w:tcW w:w="680" w:type="dxa"/>
            <w:tcBorders>
              <w:right w:val="nil"/>
            </w:tcBorders>
            <w:vMerge w:val="restart"/>
          </w:tcPr>
          <w:p>
            <w:pPr>
              <w:pStyle w:val="0"/>
              <w:jc w:val="center"/>
            </w:pPr>
            <w:r>
              <w:rPr>
                <w:sz w:val="20"/>
              </w:rPr>
              <w:t xml:space="preserve">причина отклонения</w:t>
            </w:r>
          </w:p>
        </w:tc>
      </w:tr>
      <w:tr>
        <w:tc>
          <w:tcPr>
            <w:tcBorders>
              <w:left w:val="nil"/>
            </w:tcBorders>
            <w:vMerge w:val="continue"/>
          </w:tcPr>
          <w:p/>
        </w:tc>
        <w:tc>
          <w:tcPr>
            <w:gridSpan w:val="3"/>
            <w:vMerge w:val="continue"/>
          </w:tcPr>
          <w:p/>
        </w:tc>
        <w:tc>
          <w:tcPr>
            <w:gridSpan w:val="2"/>
            <w:vMerge w:val="continue"/>
          </w:tcPr>
          <w:p/>
        </w:tc>
        <w:tc>
          <w:tcPr>
            <w:vMerge w:val="continue"/>
          </w:tcPr>
          <w:p/>
        </w:tc>
        <w:tc>
          <w:tcPr>
            <w:tcW w:w="680" w:type="dxa"/>
            <w:vMerge w:val="restart"/>
          </w:tcPr>
          <w:p>
            <w:pPr>
              <w:pStyle w:val="0"/>
              <w:jc w:val="center"/>
            </w:pPr>
            <w:r>
              <w:rPr>
                <w:sz w:val="20"/>
              </w:rPr>
              <w:t xml:space="preserve">наименование </w:t>
            </w:r>
            <w:hyperlink w:history="0" w:anchor="P1821" w:tooltip="&lt;4&gt; Формируется в соответствии с государственным заданием.">
              <w:r>
                <w:rPr>
                  <w:sz w:val="20"/>
                  <w:color w:val="0000ff"/>
                </w:rPr>
                <w:t xml:space="preserve">&lt;4&gt;</w:t>
              </w:r>
            </w:hyperlink>
          </w:p>
        </w:tc>
        <w:tc>
          <w:tcPr>
            <w:tcW w:w="709" w:type="dxa"/>
            <w:vMerge w:val="restart"/>
          </w:tcPr>
          <w:p>
            <w:pPr>
              <w:pStyle w:val="0"/>
              <w:jc w:val="center"/>
            </w:pPr>
            <w:r>
              <w:rPr>
                <w:sz w:val="20"/>
              </w:rPr>
              <w:t xml:space="preserve">код по </w:t>
            </w:r>
            <w:hyperlink w:history="0" r:id="rId7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821" w:tooltip="&lt;4&gt; Формируется в соответствии с государственным заданием.">
              <w:r>
                <w:rPr>
                  <w:sz w:val="20"/>
                  <w:color w:val="0000ff"/>
                </w:rPr>
                <w:t xml:space="preserve">&lt;4&gt;</w:t>
              </w:r>
            </w:hyperlink>
          </w:p>
        </w:tc>
        <w:tc>
          <w:tcPr>
            <w:tcW w:w="680" w:type="dxa"/>
            <w:vMerge w:val="restart"/>
          </w:tcPr>
          <w:p>
            <w:pPr>
              <w:pStyle w:val="0"/>
              <w:jc w:val="center"/>
            </w:pPr>
            <w:r>
              <w:rPr>
                <w:sz w:val="20"/>
              </w:rPr>
              <w:t xml:space="preserve">утверждено в государственном задании на год </w:t>
            </w:r>
            <w:hyperlink w:history="0" w:anchor="P1821" w:tooltip="&lt;4&gt; Формируется в соответствии с государственным заданием.">
              <w:r>
                <w:rPr>
                  <w:sz w:val="20"/>
                  <w:color w:val="0000ff"/>
                </w:rPr>
                <w:t xml:space="preserve">&lt;4&gt;</w:t>
              </w:r>
            </w:hyperlink>
          </w:p>
        </w:tc>
        <w:tc>
          <w:tcPr>
            <w:tcW w:w="964" w:type="dxa"/>
            <w:vMerge w:val="restart"/>
          </w:tcPr>
          <w:p>
            <w:pPr>
              <w:pStyle w:val="0"/>
              <w:jc w:val="center"/>
            </w:pPr>
            <w:r>
              <w:rPr>
                <w:sz w:val="20"/>
              </w:rPr>
              <w:t xml:space="preserve">утверждено в государственном задании на отчетную дату </w:t>
            </w:r>
            <w:hyperlink w:history="0" w:anchor="P182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624" w:type="dxa"/>
            <w:vMerge w:val="restart"/>
          </w:tcPr>
          <w:p>
            <w:pPr>
              <w:pStyle w:val="0"/>
              <w:jc w:val="center"/>
            </w:pPr>
            <w:r>
              <w:rPr>
                <w:sz w:val="20"/>
              </w:rPr>
              <w:t xml:space="preserve">исполнено на отчетную дату </w:t>
            </w:r>
            <w:hyperlink w:history="0" w:anchor="P182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vMerge w:val="continue"/>
          </w:tcPr>
          <w:p/>
        </w:tc>
        <w:tc>
          <w:tcPr>
            <w:vMerge w:val="continue"/>
          </w:tcPr>
          <w:p/>
        </w:tc>
        <w:tc>
          <w:tcPr>
            <w:tcBorders>
              <w:right w:val="nil"/>
            </w:tcBorders>
            <w:vMerge w:val="continue"/>
          </w:tcPr>
          <w:p/>
        </w:tc>
      </w:tr>
      <w:tr>
        <w:tc>
          <w:tcPr>
            <w:tcBorders>
              <w:left w:val="nil"/>
            </w:tcBorders>
            <w:vMerge w:val="continue"/>
          </w:tcPr>
          <w:p/>
        </w:tc>
        <w:tc>
          <w:tcPr>
            <w:tcW w:w="680"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850" w:type="dxa"/>
            <w:tcBorders>
              <w:left w:val="nil"/>
            </w:tcBorders>
          </w:tcPr>
          <w:p>
            <w:pPr>
              <w:pStyle w:val="0"/>
              <w:jc w:val="center"/>
            </w:pPr>
            <w:r>
              <w:rPr>
                <w:sz w:val="20"/>
              </w:rPr>
              <w:t xml:space="preserve">1</w:t>
            </w:r>
          </w:p>
        </w:tc>
        <w:tc>
          <w:tcPr>
            <w:tcW w:w="680" w:type="dxa"/>
          </w:tcPr>
          <w:p>
            <w:pPr>
              <w:pStyle w:val="0"/>
              <w:jc w:val="center"/>
            </w:pPr>
            <w:r>
              <w:rPr>
                <w:sz w:val="20"/>
              </w:rPr>
              <w:t xml:space="preserve">2</w:t>
            </w:r>
          </w:p>
        </w:tc>
        <w:tc>
          <w:tcPr>
            <w:tcW w:w="680" w:type="dxa"/>
          </w:tcPr>
          <w:p>
            <w:pPr>
              <w:pStyle w:val="0"/>
              <w:jc w:val="center"/>
            </w:pPr>
            <w:r>
              <w:rPr>
                <w:sz w:val="20"/>
              </w:rPr>
              <w:t xml:space="preserve">3</w:t>
            </w:r>
          </w:p>
        </w:tc>
        <w:tc>
          <w:tcPr>
            <w:tcW w:w="680" w:type="dxa"/>
          </w:tcPr>
          <w:p>
            <w:pPr>
              <w:pStyle w:val="0"/>
              <w:jc w:val="center"/>
            </w:pPr>
            <w:r>
              <w:rPr>
                <w:sz w:val="20"/>
              </w:rPr>
              <w:t xml:space="preserve">4</w:t>
            </w:r>
          </w:p>
        </w:tc>
        <w:tc>
          <w:tcPr>
            <w:tcW w:w="794" w:type="dxa"/>
          </w:tcPr>
          <w:p>
            <w:pPr>
              <w:pStyle w:val="0"/>
              <w:jc w:val="center"/>
            </w:pPr>
            <w:r>
              <w:rPr>
                <w:sz w:val="20"/>
              </w:rPr>
              <w:t xml:space="preserve">5</w:t>
            </w:r>
          </w:p>
        </w:tc>
        <w:tc>
          <w:tcPr>
            <w:tcW w:w="794" w:type="dxa"/>
          </w:tcPr>
          <w:p>
            <w:pPr>
              <w:pStyle w:val="0"/>
              <w:jc w:val="center"/>
            </w:pPr>
            <w:r>
              <w:rPr>
                <w:sz w:val="20"/>
              </w:rPr>
              <w:t xml:space="preserve">6</w:t>
            </w:r>
          </w:p>
        </w:tc>
        <w:tc>
          <w:tcPr>
            <w:tcW w:w="680" w:type="dxa"/>
          </w:tcPr>
          <w:p>
            <w:pPr>
              <w:pStyle w:val="0"/>
              <w:jc w:val="center"/>
            </w:pPr>
            <w:r>
              <w:rPr>
                <w:sz w:val="20"/>
              </w:rPr>
              <w:t xml:space="preserve">7</w:t>
            </w:r>
          </w:p>
        </w:tc>
        <w:tc>
          <w:tcPr>
            <w:tcW w:w="680" w:type="dxa"/>
          </w:tcPr>
          <w:p>
            <w:pPr>
              <w:pStyle w:val="0"/>
              <w:jc w:val="center"/>
            </w:pPr>
            <w:r>
              <w:rPr>
                <w:sz w:val="20"/>
              </w:rPr>
              <w:t xml:space="preserve">8</w:t>
            </w:r>
          </w:p>
        </w:tc>
        <w:tc>
          <w:tcPr>
            <w:tcW w:w="709" w:type="dxa"/>
          </w:tcPr>
          <w:p>
            <w:pPr>
              <w:pStyle w:val="0"/>
              <w:jc w:val="center"/>
            </w:pPr>
            <w:r>
              <w:rPr>
                <w:sz w:val="20"/>
              </w:rPr>
              <w:t xml:space="preserve">9</w:t>
            </w:r>
          </w:p>
        </w:tc>
        <w:tc>
          <w:tcPr>
            <w:tcW w:w="680" w:type="dxa"/>
          </w:tcPr>
          <w:p>
            <w:pPr>
              <w:pStyle w:val="0"/>
              <w:jc w:val="center"/>
            </w:pPr>
            <w:r>
              <w:rPr>
                <w:sz w:val="20"/>
              </w:rPr>
              <w:t xml:space="preserve">10</w:t>
            </w:r>
          </w:p>
        </w:tc>
        <w:tc>
          <w:tcPr>
            <w:tcW w:w="964" w:type="dxa"/>
          </w:tcPr>
          <w:p>
            <w:pPr>
              <w:pStyle w:val="0"/>
              <w:jc w:val="center"/>
            </w:pPr>
            <w:r>
              <w:rPr>
                <w:sz w:val="20"/>
              </w:rPr>
              <w:t xml:space="preserve">11</w:t>
            </w:r>
          </w:p>
        </w:tc>
        <w:tc>
          <w:tcPr>
            <w:tcW w:w="624" w:type="dxa"/>
          </w:tcPr>
          <w:p>
            <w:pPr>
              <w:pStyle w:val="0"/>
              <w:jc w:val="center"/>
            </w:pPr>
            <w:r>
              <w:rPr>
                <w:sz w:val="20"/>
              </w:rPr>
              <w:t xml:space="preserve">12</w:t>
            </w:r>
          </w:p>
        </w:tc>
        <w:tc>
          <w:tcPr>
            <w:tcW w:w="680" w:type="dxa"/>
          </w:tcPr>
          <w:p>
            <w:pPr>
              <w:pStyle w:val="0"/>
              <w:jc w:val="center"/>
            </w:pPr>
            <w:r>
              <w:rPr>
                <w:sz w:val="20"/>
              </w:rPr>
              <w:t xml:space="preserve">13</w:t>
            </w:r>
          </w:p>
        </w:tc>
        <w:tc>
          <w:tcPr>
            <w:tcW w:w="794" w:type="dxa"/>
          </w:tcPr>
          <w:p>
            <w:pPr>
              <w:pStyle w:val="0"/>
              <w:jc w:val="center"/>
            </w:pPr>
            <w:r>
              <w:rPr>
                <w:sz w:val="20"/>
              </w:rPr>
              <w:t xml:space="preserve">14</w:t>
            </w:r>
          </w:p>
        </w:tc>
        <w:tc>
          <w:tcPr>
            <w:tcW w:w="680" w:type="dxa"/>
            <w:tcBorders>
              <w:right w:val="nil"/>
            </w:tcBorders>
          </w:tcPr>
          <w:p>
            <w:pPr>
              <w:pStyle w:val="0"/>
              <w:jc w:val="center"/>
            </w:pPr>
            <w:r>
              <w:rPr>
                <w:sz w:val="20"/>
              </w:rPr>
              <w:t xml:space="preserve">15</w:t>
            </w:r>
          </w:p>
        </w:tc>
      </w:tr>
      <w:tr>
        <w:tc>
          <w:tcPr>
            <w:tcW w:w="850" w:type="dxa"/>
            <w:tcBorders>
              <w:left w:val="nil"/>
            </w:tcBorders>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794" w:type="dxa"/>
            <w:vMerge w:val="restart"/>
          </w:tcPr>
          <w:p>
            <w:pPr>
              <w:pStyle w:val="0"/>
            </w:pPr>
            <w:r>
              <w:rPr>
                <w:sz w:val="20"/>
              </w:rPr>
            </w:r>
          </w:p>
        </w:tc>
        <w:tc>
          <w:tcPr>
            <w:tcW w:w="794" w:type="dxa"/>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9"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680"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pPr>
            <w:r>
              <w:rPr>
                <w:sz w:val="20"/>
              </w:rPr>
            </w:r>
          </w:p>
        </w:tc>
        <w:tc>
          <w:tcPr>
            <w:tcW w:w="680" w:type="dxa"/>
          </w:tcPr>
          <w:p>
            <w:pPr>
              <w:pStyle w:val="0"/>
            </w:pPr>
            <w:r>
              <w:rPr>
                <w:sz w:val="20"/>
              </w:rPr>
            </w:r>
          </w:p>
        </w:tc>
        <w:tc>
          <w:tcPr>
            <w:tcW w:w="709"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680" w:type="dxa"/>
            <w:tcBorders>
              <w:right w:val="nil"/>
            </w:tcBorders>
          </w:tcPr>
          <w:p>
            <w:pPr>
              <w:pStyle w:val="0"/>
            </w:pPr>
            <w:r>
              <w:rPr>
                <w:sz w:val="20"/>
              </w:rPr>
            </w:r>
          </w:p>
        </w:tc>
      </w:tr>
      <w:tr>
        <w:tc>
          <w:tcPr>
            <w:tcW w:w="850" w:type="dxa"/>
            <w:tcBorders>
              <w:left w:val="nil"/>
            </w:tcBorders>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9"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680" w:type="dxa"/>
            <w:tcBorders>
              <w:right w:val="nil"/>
            </w:tcBorders>
          </w:tcPr>
          <w:p>
            <w:pPr>
              <w:pStyle w:val="0"/>
            </w:pPr>
            <w:r>
              <w:rPr>
                <w:sz w:val="20"/>
              </w:rPr>
            </w:r>
          </w:p>
        </w:tc>
      </w:tr>
    </w:tbl>
    <w:p>
      <w:pPr>
        <w:pStyle w:val="0"/>
        <w:jc w:val="both"/>
      </w:pPr>
      <w:r>
        <w:rPr>
          <w:sz w:val="20"/>
        </w:rPr>
      </w:r>
    </w:p>
    <w:bookmarkStart w:id="1595" w:name="P1595"/>
    <w:bookmarkEnd w:id="1595"/>
    <w:p>
      <w:pPr>
        <w:pStyle w:val="1"/>
        <w:jc w:val="both"/>
      </w:pPr>
      <w:r>
        <w:rPr>
          <w:sz w:val="20"/>
        </w:rPr>
        <w:t xml:space="preserve">3.2.  Сведения о фактическом достижении показателей, характеризующих  объем</w:t>
      </w:r>
    </w:p>
    <w:p>
      <w:pPr>
        <w:pStyle w:val="1"/>
        <w:jc w:val="both"/>
      </w:pPr>
      <w:r>
        <w:rPr>
          <w:sz w:val="20"/>
        </w:rPr>
        <w:t xml:space="preserve">работы   (за   исключением   работы   по  проведению  научных  исследований</w:t>
      </w:r>
    </w:p>
    <w:p>
      <w:pPr>
        <w:pStyle w:val="1"/>
        <w:jc w:val="both"/>
      </w:pPr>
      <w:r>
        <w:rPr>
          <w:sz w:val="20"/>
        </w:rPr>
        <w:t xml:space="preserve">(разработок)</w:t>
      </w:r>
    </w:p>
    <w:p>
      <w:pPr>
        <w:pStyle w:val="0"/>
        <w:ind w:firstLine="54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850"/>
        <w:gridCol w:w="736"/>
        <w:gridCol w:w="736"/>
        <w:gridCol w:w="736"/>
        <w:gridCol w:w="736"/>
        <w:gridCol w:w="736"/>
        <w:gridCol w:w="738"/>
        <w:gridCol w:w="680"/>
        <w:gridCol w:w="718"/>
        <w:gridCol w:w="1244"/>
        <w:gridCol w:w="1470"/>
        <w:gridCol w:w="960"/>
        <w:gridCol w:w="794"/>
        <w:gridCol w:w="1006"/>
        <w:gridCol w:w="680"/>
        <w:gridCol w:w="775"/>
      </w:tblGrid>
      <w:tr>
        <w:tc>
          <w:tcPr>
            <w:tcW w:w="850" w:type="dxa"/>
            <w:tcBorders>
              <w:left w:val="nil"/>
            </w:tcBorders>
            <w:vMerge w:val="restart"/>
          </w:tcPr>
          <w:p>
            <w:pPr>
              <w:pStyle w:val="0"/>
              <w:jc w:val="center"/>
            </w:pPr>
            <w:r>
              <w:rPr>
                <w:sz w:val="20"/>
              </w:rPr>
              <w:t xml:space="preserve">Уникальный номер реестровой записи </w:t>
            </w:r>
            <w:hyperlink w:history="0" w:anchor="P1821" w:tooltip="&lt;4&gt; Формируется в соответствии с государственным заданием.">
              <w:r>
                <w:rPr>
                  <w:sz w:val="20"/>
                  <w:color w:val="0000ff"/>
                </w:rPr>
                <w:t xml:space="preserve">&lt;4&gt;</w:t>
              </w:r>
            </w:hyperlink>
          </w:p>
        </w:tc>
        <w:tc>
          <w:tcPr>
            <w:gridSpan w:val="3"/>
            <w:tcW w:w="2208" w:type="dxa"/>
            <w:vMerge w:val="restart"/>
          </w:tcPr>
          <w:p>
            <w:pPr>
              <w:pStyle w:val="0"/>
              <w:jc w:val="center"/>
            </w:pPr>
            <w:r>
              <w:rPr>
                <w:sz w:val="20"/>
              </w:rPr>
              <w:t xml:space="preserve">Показатель, характеризующий содержание работы</w:t>
            </w:r>
          </w:p>
        </w:tc>
        <w:tc>
          <w:tcPr>
            <w:gridSpan w:val="2"/>
            <w:tcW w:w="1472" w:type="dxa"/>
            <w:vMerge w:val="restart"/>
          </w:tcPr>
          <w:p>
            <w:pPr>
              <w:pStyle w:val="0"/>
              <w:jc w:val="center"/>
            </w:pPr>
            <w:r>
              <w:rPr>
                <w:sz w:val="20"/>
              </w:rPr>
              <w:t xml:space="preserve">Показатель, характеризующий условия (формы) выполнения работы</w:t>
            </w:r>
          </w:p>
        </w:tc>
        <w:tc>
          <w:tcPr>
            <w:gridSpan w:val="9"/>
            <w:tcW w:w="8290" w:type="dxa"/>
          </w:tcPr>
          <w:p>
            <w:pPr>
              <w:pStyle w:val="0"/>
              <w:jc w:val="center"/>
            </w:pPr>
            <w:r>
              <w:rPr>
                <w:sz w:val="20"/>
              </w:rPr>
              <w:t xml:space="preserve">Показатель объема работы</w:t>
            </w:r>
          </w:p>
        </w:tc>
        <w:tc>
          <w:tcPr>
            <w:tcW w:w="775" w:type="dxa"/>
            <w:tcBorders>
              <w:right w:val="nil"/>
            </w:tcBorders>
            <w:vMerge w:val="restart"/>
          </w:tcPr>
          <w:p>
            <w:pPr>
              <w:pStyle w:val="0"/>
              <w:jc w:val="center"/>
            </w:pPr>
            <w:r>
              <w:rPr>
                <w:sz w:val="20"/>
              </w:rPr>
              <w:t xml:space="preserve">Размер платы (цена, тариф)</w:t>
            </w:r>
          </w:p>
        </w:tc>
      </w:tr>
      <w:tr>
        <w:tc>
          <w:tcPr>
            <w:tcBorders>
              <w:left w:val="nil"/>
            </w:tcBorders>
            <w:vMerge w:val="continue"/>
          </w:tcPr>
          <w:p/>
        </w:tc>
        <w:tc>
          <w:tcPr>
            <w:gridSpan w:val="3"/>
            <w:vMerge w:val="continue"/>
          </w:tcPr>
          <w:p/>
        </w:tc>
        <w:tc>
          <w:tcPr>
            <w:gridSpan w:val="2"/>
            <w:vMerge w:val="continue"/>
          </w:tcPr>
          <w:p/>
        </w:tc>
        <w:tc>
          <w:tcPr>
            <w:tcW w:w="738" w:type="dxa"/>
            <w:vMerge w:val="restart"/>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gridSpan w:val="2"/>
            <w:tcW w:w="1398" w:type="dxa"/>
          </w:tcPr>
          <w:p>
            <w:pPr>
              <w:pStyle w:val="0"/>
              <w:jc w:val="center"/>
            </w:pPr>
            <w:r>
              <w:rPr>
                <w:sz w:val="20"/>
              </w:rPr>
              <w:t xml:space="preserve">единица измерения</w:t>
            </w:r>
          </w:p>
        </w:tc>
        <w:tc>
          <w:tcPr>
            <w:gridSpan w:val="3"/>
            <w:tcW w:w="3674" w:type="dxa"/>
          </w:tcPr>
          <w:p>
            <w:pPr>
              <w:pStyle w:val="0"/>
              <w:jc w:val="center"/>
            </w:pPr>
            <w:r>
              <w:rPr>
                <w:sz w:val="20"/>
              </w:rPr>
              <w:t xml:space="preserve">значение</w:t>
            </w:r>
          </w:p>
        </w:tc>
        <w:tc>
          <w:tcPr>
            <w:tcW w:w="794" w:type="dxa"/>
            <w:vMerge w:val="restart"/>
          </w:tcPr>
          <w:p>
            <w:pPr>
              <w:pStyle w:val="0"/>
              <w:jc w:val="center"/>
            </w:pPr>
            <w:r>
              <w:rPr>
                <w:sz w:val="20"/>
              </w:rPr>
              <w:t xml:space="preserve">допустимое (возможное) отклонение </w:t>
            </w:r>
            <w:hyperlink w:history="0" w:anchor="P182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1006" w:type="dxa"/>
            <w:vMerge w:val="restart"/>
          </w:tcPr>
          <w:p>
            <w:pPr>
              <w:pStyle w:val="0"/>
              <w:jc w:val="center"/>
            </w:pPr>
            <w:r>
              <w:rPr>
                <w:sz w:val="20"/>
              </w:rPr>
              <w:t xml:space="preserve">отклонение, превышающее допустимое (возможное) отклонение </w:t>
            </w:r>
            <w:hyperlink w:history="0" w:anchor="P1827" w:tooltip="&lt;8&gt; Рассчитывается при формировании отчета за год как разница показателей граф 10, 12 и 13.">
              <w:r>
                <w:rPr>
                  <w:sz w:val="20"/>
                  <w:color w:val="0000ff"/>
                </w:rPr>
                <w:t xml:space="preserve">&lt;8&gt;</w:t>
              </w:r>
            </w:hyperlink>
          </w:p>
        </w:tc>
        <w:tc>
          <w:tcPr>
            <w:tcW w:w="680" w:type="dxa"/>
            <w:vMerge w:val="restart"/>
          </w:tcPr>
          <w:p>
            <w:pPr>
              <w:pStyle w:val="0"/>
              <w:jc w:val="center"/>
            </w:pPr>
            <w:r>
              <w:rPr>
                <w:sz w:val="20"/>
              </w:rPr>
              <w:t xml:space="preserve">причина отклонения</w:t>
            </w:r>
          </w:p>
        </w:tc>
        <w:tc>
          <w:tcPr>
            <w:tcBorders>
              <w:right w:val="nil"/>
            </w:tcBorders>
            <w:vMerge w:val="continue"/>
          </w:tcPr>
          <w:p/>
        </w:tc>
      </w:tr>
      <w:tr>
        <w:tc>
          <w:tcPr>
            <w:tcBorders>
              <w:left w:val="nil"/>
            </w:tcBorders>
            <w:vMerge w:val="continue"/>
          </w:tcPr>
          <w:p/>
        </w:tc>
        <w:tc>
          <w:tcPr>
            <w:tcW w:w="736"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36"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36"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36"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736"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vMerge w:val="continue"/>
          </w:tcPr>
          <w:p/>
        </w:tc>
        <w:tc>
          <w:tcPr>
            <w:tcW w:w="680" w:type="dxa"/>
          </w:tcPr>
          <w:p>
            <w:pPr>
              <w:pStyle w:val="0"/>
              <w:jc w:val="center"/>
            </w:pPr>
            <w:r>
              <w:rPr>
                <w:sz w:val="20"/>
              </w:rPr>
              <w:t xml:space="preserve">наименование </w:t>
            </w:r>
            <w:hyperlink w:history="0" w:anchor="P1821" w:tooltip="&lt;4&gt; Формируется в соответствии с государственным заданием.">
              <w:r>
                <w:rPr>
                  <w:sz w:val="20"/>
                  <w:color w:val="0000ff"/>
                </w:rPr>
                <w:t xml:space="preserve">&lt;4&gt;</w:t>
              </w:r>
            </w:hyperlink>
          </w:p>
        </w:tc>
        <w:tc>
          <w:tcPr>
            <w:tcW w:w="718" w:type="dxa"/>
          </w:tcPr>
          <w:p>
            <w:pPr>
              <w:pStyle w:val="0"/>
              <w:jc w:val="center"/>
            </w:pPr>
            <w:r>
              <w:rPr>
                <w:sz w:val="20"/>
              </w:rPr>
              <w:t xml:space="preserve">код по </w:t>
            </w:r>
            <w:hyperlink w:history="0" r:id="rId7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821" w:tooltip="&lt;4&gt; Формируется в соответствии с государственным заданием.">
              <w:r>
                <w:rPr>
                  <w:sz w:val="20"/>
                  <w:color w:val="0000ff"/>
                </w:rPr>
                <w:t xml:space="preserve">&lt;4&gt;</w:t>
              </w:r>
            </w:hyperlink>
          </w:p>
        </w:tc>
        <w:tc>
          <w:tcPr>
            <w:tcW w:w="1244" w:type="dxa"/>
          </w:tcPr>
          <w:p>
            <w:pPr>
              <w:pStyle w:val="0"/>
              <w:jc w:val="center"/>
            </w:pPr>
            <w:r>
              <w:rPr>
                <w:sz w:val="20"/>
              </w:rPr>
              <w:t xml:space="preserve">утверждено в государственном задании на год </w:t>
            </w:r>
            <w:hyperlink w:history="0" w:anchor="P1821" w:tooltip="&lt;4&gt; Формируется в соответствии с государственным заданием.">
              <w:r>
                <w:rPr>
                  <w:sz w:val="20"/>
                  <w:color w:val="0000ff"/>
                </w:rPr>
                <w:t xml:space="preserve">&lt;4&gt;</w:t>
              </w:r>
            </w:hyperlink>
          </w:p>
        </w:tc>
        <w:tc>
          <w:tcPr>
            <w:tcW w:w="1470" w:type="dxa"/>
          </w:tcPr>
          <w:p>
            <w:pPr>
              <w:pStyle w:val="0"/>
              <w:jc w:val="center"/>
            </w:pPr>
            <w:r>
              <w:rPr>
                <w:sz w:val="20"/>
              </w:rPr>
              <w:t xml:space="preserve">утверждено в государственном задании на отчетную дату </w:t>
            </w:r>
            <w:hyperlink w:history="0" w:anchor="P182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960" w:type="dxa"/>
          </w:tcPr>
          <w:p>
            <w:pPr>
              <w:pStyle w:val="0"/>
              <w:jc w:val="center"/>
            </w:pPr>
            <w:r>
              <w:rPr>
                <w:sz w:val="20"/>
              </w:rPr>
              <w:t xml:space="preserve">исполнено на отчетную дату </w:t>
            </w:r>
            <w:hyperlink w:history="0" w:anchor="P182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vMerge w:val="continue"/>
          </w:tcPr>
          <w:p/>
        </w:tc>
        <w:tc>
          <w:tcPr>
            <w:vMerge w:val="continue"/>
          </w:tcPr>
          <w:p/>
        </w:tc>
        <w:tc>
          <w:tcPr>
            <w:vMerge w:val="continue"/>
          </w:tcPr>
          <w:p/>
        </w:tc>
        <w:tc>
          <w:tcPr>
            <w:tcBorders>
              <w:right w:val="nil"/>
            </w:tcBorders>
            <w:vMerge w:val="continue"/>
          </w:tcPr>
          <w:p/>
        </w:tc>
      </w:tr>
      <w:tr>
        <w:tc>
          <w:tcPr>
            <w:tcW w:w="850" w:type="dxa"/>
            <w:tcBorders>
              <w:left w:val="nil"/>
            </w:tcBorders>
          </w:tcPr>
          <w:p>
            <w:pPr>
              <w:pStyle w:val="0"/>
              <w:jc w:val="center"/>
            </w:pPr>
            <w:r>
              <w:rPr>
                <w:sz w:val="20"/>
              </w:rPr>
              <w:t xml:space="preserve">1</w:t>
            </w:r>
          </w:p>
        </w:tc>
        <w:tc>
          <w:tcPr>
            <w:tcW w:w="736" w:type="dxa"/>
          </w:tcPr>
          <w:p>
            <w:pPr>
              <w:pStyle w:val="0"/>
              <w:jc w:val="center"/>
            </w:pPr>
            <w:r>
              <w:rPr>
                <w:sz w:val="20"/>
              </w:rPr>
              <w:t xml:space="preserve">2</w:t>
            </w:r>
          </w:p>
        </w:tc>
        <w:tc>
          <w:tcPr>
            <w:tcW w:w="736" w:type="dxa"/>
          </w:tcPr>
          <w:p>
            <w:pPr>
              <w:pStyle w:val="0"/>
              <w:jc w:val="center"/>
            </w:pPr>
            <w:r>
              <w:rPr>
                <w:sz w:val="20"/>
              </w:rPr>
              <w:t xml:space="preserve">3</w:t>
            </w:r>
          </w:p>
        </w:tc>
        <w:tc>
          <w:tcPr>
            <w:tcW w:w="736" w:type="dxa"/>
          </w:tcPr>
          <w:p>
            <w:pPr>
              <w:pStyle w:val="0"/>
              <w:jc w:val="center"/>
            </w:pPr>
            <w:r>
              <w:rPr>
                <w:sz w:val="20"/>
              </w:rPr>
              <w:t xml:space="preserve">4</w:t>
            </w:r>
          </w:p>
        </w:tc>
        <w:tc>
          <w:tcPr>
            <w:tcW w:w="736" w:type="dxa"/>
          </w:tcPr>
          <w:p>
            <w:pPr>
              <w:pStyle w:val="0"/>
              <w:jc w:val="center"/>
            </w:pPr>
            <w:r>
              <w:rPr>
                <w:sz w:val="20"/>
              </w:rPr>
              <w:t xml:space="preserve">5</w:t>
            </w:r>
          </w:p>
        </w:tc>
        <w:tc>
          <w:tcPr>
            <w:tcW w:w="736" w:type="dxa"/>
          </w:tcPr>
          <w:p>
            <w:pPr>
              <w:pStyle w:val="0"/>
              <w:jc w:val="center"/>
            </w:pPr>
            <w:r>
              <w:rPr>
                <w:sz w:val="20"/>
              </w:rPr>
              <w:t xml:space="preserve">6</w:t>
            </w:r>
          </w:p>
        </w:tc>
        <w:tc>
          <w:tcPr>
            <w:tcW w:w="738" w:type="dxa"/>
          </w:tcPr>
          <w:p>
            <w:pPr>
              <w:pStyle w:val="0"/>
              <w:jc w:val="center"/>
            </w:pPr>
            <w:r>
              <w:rPr>
                <w:sz w:val="20"/>
              </w:rPr>
              <w:t xml:space="preserve">7</w:t>
            </w:r>
          </w:p>
        </w:tc>
        <w:tc>
          <w:tcPr>
            <w:tcW w:w="680" w:type="dxa"/>
          </w:tcPr>
          <w:p>
            <w:pPr>
              <w:pStyle w:val="0"/>
              <w:jc w:val="center"/>
            </w:pPr>
            <w:r>
              <w:rPr>
                <w:sz w:val="20"/>
              </w:rPr>
              <w:t xml:space="preserve">8</w:t>
            </w:r>
          </w:p>
        </w:tc>
        <w:tc>
          <w:tcPr>
            <w:tcW w:w="718" w:type="dxa"/>
          </w:tcPr>
          <w:p>
            <w:pPr>
              <w:pStyle w:val="0"/>
              <w:jc w:val="center"/>
            </w:pPr>
            <w:r>
              <w:rPr>
                <w:sz w:val="20"/>
              </w:rPr>
              <w:t xml:space="preserve">9</w:t>
            </w:r>
          </w:p>
        </w:tc>
        <w:tc>
          <w:tcPr>
            <w:tcW w:w="1244" w:type="dxa"/>
          </w:tcPr>
          <w:p>
            <w:pPr>
              <w:pStyle w:val="0"/>
              <w:jc w:val="center"/>
            </w:pPr>
            <w:r>
              <w:rPr>
                <w:sz w:val="20"/>
              </w:rPr>
              <w:t xml:space="preserve">10</w:t>
            </w:r>
          </w:p>
        </w:tc>
        <w:tc>
          <w:tcPr>
            <w:tcW w:w="1470" w:type="dxa"/>
          </w:tcPr>
          <w:p>
            <w:pPr>
              <w:pStyle w:val="0"/>
              <w:jc w:val="center"/>
            </w:pPr>
            <w:r>
              <w:rPr>
                <w:sz w:val="20"/>
              </w:rPr>
              <w:t xml:space="preserve">11</w:t>
            </w:r>
          </w:p>
        </w:tc>
        <w:tc>
          <w:tcPr>
            <w:tcW w:w="960" w:type="dxa"/>
          </w:tcPr>
          <w:p>
            <w:pPr>
              <w:pStyle w:val="0"/>
              <w:jc w:val="center"/>
            </w:pPr>
            <w:r>
              <w:rPr>
                <w:sz w:val="20"/>
              </w:rPr>
              <w:t xml:space="preserve">12</w:t>
            </w:r>
          </w:p>
        </w:tc>
        <w:tc>
          <w:tcPr>
            <w:tcW w:w="794" w:type="dxa"/>
          </w:tcPr>
          <w:p>
            <w:pPr>
              <w:pStyle w:val="0"/>
              <w:jc w:val="center"/>
            </w:pPr>
            <w:r>
              <w:rPr>
                <w:sz w:val="20"/>
              </w:rPr>
              <w:t xml:space="preserve">13</w:t>
            </w:r>
          </w:p>
        </w:tc>
        <w:tc>
          <w:tcPr>
            <w:tcW w:w="1006" w:type="dxa"/>
          </w:tcPr>
          <w:p>
            <w:pPr>
              <w:pStyle w:val="0"/>
              <w:jc w:val="center"/>
            </w:pPr>
            <w:r>
              <w:rPr>
                <w:sz w:val="20"/>
              </w:rPr>
              <w:t xml:space="preserve">14</w:t>
            </w:r>
          </w:p>
        </w:tc>
        <w:tc>
          <w:tcPr>
            <w:tcW w:w="680" w:type="dxa"/>
          </w:tcPr>
          <w:p>
            <w:pPr>
              <w:pStyle w:val="0"/>
              <w:jc w:val="center"/>
            </w:pPr>
            <w:r>
              <w:rPr>
                <w:sz w:val="20"/>
              </w:rPr>
              <w:t xml:space="preserve">15</w:t>
            </w:r>
          </w:p>
        </w:tc>
        <w:tc>
          <w:tcPr>
            <w:tcW w:w="775" w:type="dxa"/>
            <w:tcBorders>
              <w:right w:val="nil"/>
            </w:tcBorders>
          </w:tcPr>
          <w:p>
            <w:pPr>
              <w:pStyle w:val="0"/>
              <w:jc w:val="center"/>
            </w:pPr>
            <w:r>
              <w:rPr>
                <w:sz w:val="20"/>
              </w:rPr>
              <w:t xml:space="preserve">16</w:t>
            </w:r>
          </w:p>
        </w:tc>
      </w:tr>
      <w:tr>
        <w:tc>
          <w:tcPr>
            <w:tcW w:w="850" w:type="dxa"/>
            <w:tcBorders>
              <w:left w:val="nil"/>
            </w:tcBorders>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8" w:type="dxa"/>
          </w:tcPr>
          <w:p>
            <w:pPr>
              <w:pStyle w:val="0"/>
            </w:pPr>
            <w:r>
              <w:rPr>
                <w:sz w:val="20"/>
              </w:rPr>
            </w:r>
          </w:p>
        </w:tc>
        <w:tc>
          <w:tcPr>
            <w:tcW w:w="680" w:type="dxa"/>
          </w:tcPr>
          <w:p>
            <w:pPr>
              <w:pStyle w:val="0"/>
            </w:pPr>
            <w:r>
              <w:rPr>
                <w:sz w:val="20"/>
              </w:rPr>
            </w:r>
          </w:p>
        </w:tc>
        <w:tc>
          <w:tcPr>
            <w:tcW w:w="718" w:type="dxa"/>
          </w:tcPr>
          <w:p>
            <w:pPr>
              <w:pStyle w:val="0"/>
            </w:pPr>
            <w:r>
              <w:rPr>
                <w:sz w:val="20"/>
              </w:rPr>
            </w:r>
          </w:p>
        </w:tc>
        <w:tc>
          <w:tcPr>
            <w:tcW w:w="1244" w:type="dxa"/>
          </w:tcPr>
          <w:p>
            <w:pPr>
              <w:pStyle w:val="0"/>
            </w:pPr>
            <w:r>
              <w:rPr>
                <w:sz w:val="20"/>
              </w:rPr>
            </w:r>
          </w:p>
        </w:tc>
        <w:tc>
          <w:tcPr>
            <w:tcW w:w="1470" w:type="dxa"/>
          </w:tcPr>
          <w:p>
            <w:pPr>
              <w:pStyle w:val="0"/>
            </w:pPr>
            <w:r>
              <w:rPr>
                <w:sz w:val="20"/>
              </w:rPr>
            </w:r>
          </w:p>
        </w:tc>
        <w:tc>
          <w:tcPr>
            <w:tcW w:w="960" w:type="dxa"/>
          </w:tcPr>
          <w:p>
            <w:pPr>
              <w:pStyle w:val="0"/>
            </w:pPr>
            <w:r>
              <w:rPr>
                <w:sz w:val="20"/>
              </w:rPr>
            </w:r>
          </w:p>
        </w:tc>
        <w:tc>
          <w:tcPr>
            <w:tcW w:w="794" w:type="dxa"/>
          </w:tcPr>
          <w:p>
            <w:pPr>
              <w:pStyle w:val="0"/>
            </w:pPr>
            <w:r>
              <w:rPr>
                <w:sz w:val="20"/>
              </w:rPr>
            </w:r>
          </w:p>
        </w:tc>
        <w:tc>
          <w:tcPr>
            <w:tcW w:w="1006" w:type="dxa"/>
          </w:tcPr>
          <w:p>
            <w:pPr>
              <w:pStyle w:val="0"/>
            </w:pPr>
            <w:r>
              <w:rPr>
                <w:sz w:val="20"/>
              </w:rPr>
            </w:r>
          </w:p>
        </w:tc>
        <w:tc>
          <w:tcPr>
            <w:tcW w:w="680" w:type="dxa"/>
          </w:tcPr>
          <w:p>
            <w:pPr>
              <w:pStyle w:val="0"/>
            </w:pPr>
            <w:r>
              <w:rPr>
                <w:sz w:val="20"/>
              </w:rPr>
            </w:r>
          </w:p>
        </w:tc>
        <w:tc>
          <w:tcPr>
            <w:tcW w:w="775" w:type="dxa"/>
            <w:tcBorders>
              <w:right w:val="nil"/>
            </w:tcBorders>
          </w:tcPr>
          <w:p>
            <w:pPr>
              <w:pStyle w:val="0"/>
            </w:pPr>
            <w:r>
              <w:rPr>
                <w:sz w:val="20"/>
              </w:rPr>
            </w:r>
          </w:p>
        </w:tc>
      </w:tr>
      <w:tr>
        <w:tc>
          <w:tcPr>
            <w:tcW w:w="850" w:type="dxa"/>
            <w:tcBorders>
              <w:left w:val="nil"/>
            </w:tcBorders>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8" w:type="dxa"/>
          </w:tcPr>
          <w:p>
            <w:pPr>
              <w:pStyle w:val="0"/>
            </w:pPr>
            <w:r>
              <w:rPr>
                <w:sz w:val="20"/>
              </w:rPr>
            </w:r>
          </w:p>
        </w:tc>
        <w:tc>
          <w:tcPr>
            <w:tcW w:w="680" w:type="dxa"/>
          </w:tcPr>
          <w:p>
            <w:pPr>
              <w:pStyle w:val="0"/>
            </w:pPr>
            <w:r>
              <w:rPr>
                <w:sz w:val="20"/>
              </w:rPr>
            </w:r>
          </w:p>
        </w:tc>
        <w:tc>
          <w:tcPr>
            <w:tcW w:w="718" w:type="dxa"/>
          </w:tcPr>
          <w:p>
            <w:pPr>
              <w:pStyle w:val="0"/>
            </w:pPr>
            <w:r>
              <w:rPr>
                <w:sz w:val="20"/>
              </w:rPr>
            </w:r>
          </w:p>
        </w:tc>
        <w:tc>
          <w:tcPr>
            <w:tcW w:w="1244" w:type="dxa"/>
          </w:tcPr>
          <w:p>
            <w:pPr>
              <w:pStyle w:val="0"/>
            </w:pPr>
            <w:r>
              <w:rPr>
                <w:sz w:val="20"/>
              </w:rPr>
            </w:r>
          </w:p>
        </w:tc>
        <w:tc>
          <w:tcPr>
            <w:tcW w:w="1470" w:type="dxa"/>
          </w:tcPr>
          <w:p>
            <w:pPr>
              <w:pStyle w:val="0"/>
            </w:pPr>
            <w:r>
              <w:rPr>
                <w:sz w:val="20"/>
              </w:rPr>
            </w:r>
          </w:p>
        </w:tc>
        <w:tc>
          <w:tcPr>
            <w:tcW w:w="960" w:type="dxa"/>
          </w:tcPr>
          <w:p>
            <w:pPr>
              <w:pStyle w:val="0"/>
            </w:pPr>
            <w:r>
              <w:rPr>
                <w:sz w:val="20"/>
              </w:rPr>
            </w:r>
          </w:p>
        </w:tc>
        <w:tc>
          <w:tcPr>
            <w:tcW w:w="794" w:type="dxa"/>
          </w:tcPr>
          <w:p>
            <w:pPr>
              <w:pStyle w:val="0"/>
            </w:pPr>
            <w:r>
              <w:rPr>
                <w:sz w:val="20"/>
              </w:rPr>
            </w:r>
          </w:p>
        </w:tc>
        <w:tc>
          <w:tcPr>
            <w:tcW w:w="1006" w:type="dxa"/>
          </w:tcPr>
          <w:p>
            <w:pPr>
              <w:pStyle w:val="0"/>
            </w:pPr>
            <w:r>
              <w:rPr>
                <w:sz w:val="20"/>
              </w:rPr>
            </w:r>
          </w:p>
        </w:tc>
        <w:tc>
          <w:tcPr>
            <w:tcW w:w="680" w:type="dxa"/>
          </w:tcPr>
          <w:p>
            <w:pPr>
              <w:pStyle w:val="0"/>
            </w:pPr>
            <w:r>
              <w:rPr>
                <w:sz w:val="20"/>
              </w:rPr>
            </w:r>
          </w:p>
        </w:tc>
        <w:tc>
          <w:tcPr>
            <w:tcW w:w="775" w:type="dxa"/>
            <w:tcBorders>
              <w:right w:val="nil"/>
            </w:tcBorders>
          </w:tcPr>
          <w:p>
            <w:pPr>
              <w:pStyle w:val="0"/>
            </w:pPr>
            <w:r>
              <w:rPr>
                <w:sz w:val="20"/>
              </w:rPr>
            </w:r>
          </w:p>
        </w:tc>
      </w:tr>
      <w:tr>
        <w:tc>
          <w:tcPr>
            <w:tcW w:w="850" w:type="dxa"/>
            <w:tcBorders>
              <w:left w:val="nil"/>
            </w:tcBorders>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8" w:type="dxa"/>
          </w:tcPr>
          <w:p>
            <w:pPr>
              <w:pStyle w:val="0"/>
            </w:pPr>
            <w:r>
              <w:rPr>
                <w:sz w:val="20"/>
              </w:rPr>
            </w:r>
          </w:p>
        </w:tc>
        <w:tc>
          <w:tcPr>
            <w:tcW w:w="680" w:type="dxa"/>
          </w:tcPr>
          <w:p>
            <w:pPr>
              <w:pStyle w:val="0"/>
            </w:pPr>
            <w:r>
              <w:rPr>
                <w:sz w:val="20"/>
              </w:rPr>
            </w:r>
          </w:p>
        </w:tc>
        <w:tc>
          <w:tcPr>
            <w:tcW w:w="718" w:type="dxa"/>
          </w:tcPr>
          <w:p>
            <w:pPr>
              <w:pStyle w:val="0"/>
            </w:pPr>
            <w:r>
              <w:rPr>
                <w:sz w:val="20"/>
              </w:rPr>
            </w:r>
          </w:p>
        </w:tc>
        <w:tc>
          <w:tcPr>
            <w:tcW w:w="1244" w:type="dxa"/>
          </w:tcPr>
          <w:p>
            <w:pPr>
              <w:pStyle w:val="0"/>
            </w:pPr>
            <w:r>
              <w:rPr>
                <w:sz w:val="20"/>
              </w:rPr>
            </w:r>
          </w:p>
        </w:tc>
        <w:tc>
          <w:tcPr>
            <w:tcW w:w="1470" w:type="dxa"/>
          </w:tcPr>
          <w:p>
            <w:pPr>
              <w:pStyle w:val="0"/>
            </w:pPr>
            <w:r>
              <w:rPr>
                <w:sz w:val="20"/>
              </w:rPr>
            </w:r>
          </w:p>
        </w:tc>
        <w:tc>
          <w:tcPr>
            <w:tcW w:w="960" w:type="dxa"/>
          </w:tcPr>
          <w:p>
            <w:pPr>
              <w:pStyle w:val="0"/>
            </w:pPr>
            <w:r>
              <w:rPr>
                <w:sz w:val="20"/>
              </w:rPr>
            </w:r>
          </w:p>
        </w:tc>
        <w:tc>
          <w:tcPr>
            <w:tcW w:w="794" w:type="dxa"/>
          </w:tcPr>
          <w:p>
            <w:pPr>
              <w:pStyle w:val="0"/>
            </w:pPr>
            <w:r>
              <w:rPr>
                <w:sz w:val="20"/>
              </w:rPr>
            </w:r>
          </w:p>
        </w:tc>
        <w:tc>
          <w:tcPr>
            <w:tcW w:w="1006" w:type="dxa"/>
          </w:tcPr>
          <w:p>
            <w:pPr>
              <w:pStyle w:val="0"/>
            </w:pPr>
            <w:r>
              <w:rPr>
                <w:sz w:val="20"/>
              </w:rPr>
            </w:r>
          </w:p>
        </w:tc>
        <w:tc>
          <w:tcPr>
            <w:tcW w:w="680" w:type="dxa"/>
          </w:tcPr>
          <w:p>
            <w:pPr>
              <w:pStyle w:val="0"/>
            </w:pPr>
            <w:r>
              <w:rPr>
                <w:sz w:val="20"/>
              </w:rPr>
            </w:r>
          </w:p>
        </w:tc>
        <w:tc>
          <w:tcPr>
            <w:tcW w:w="775" w:type="dxa"/>
            <w:vAlign w:val="center"/>
            <w:tcBorders>
              <w:right w:val="nil"/>
            </w:tcBorders>
          </w:tcPr>
          <w:p>
            <w:pPr>
              <w:pStyle w:val="0"/>
              <w:jc w:val="right"/>
            </w:pPr>
            <w:r>
              <w:rPr>
                <w:sz w:val="20"/>
              </w:rPr>
            </w:r>
          </w:p>
        </w:tc>
      </w:tr>
    </w:tbl>
    <w:p>
      <w:pPr>
        <w:pStyle w:val="0"/>
        <w:jc w:val="both"/>
      </w:pPr>
      <w:r>
        <w:rPr>
          <w:sz w:val="20"/>
        </w:rPr>
      </w:r>
    </w:p>
    <w:p>
      <w:pPr>
        <w:pStyle w:val="1"/>
        <w:jc w:val="both"/>
      </w:pPr>
      <w:r>
        <w:rPr>
          <w:sz w:val="20"/>
        </w:rPr>
        <w:t xml:space="preserve">3.3.  Сведения о фактическом достижении показателей,  характеризующих объем</w:t>
      </w:r>
    </w:p>
    <w:p>
      <w:pPr>
        <w:pStyle w:val="1"/>
        <w:jc w:val="both"/>
      </w:pPr>
      <w:r>
        <w:rPr>
          <w:sz w:val="20"/>
        </w:rPr>
        <w:t xml:space="preserve">работы по проведению научных исследований (разработок)</w:t>
      </w:r>
    </w:p>
    <w:p>
      <w:pPr>
        <w:pStyle w:val="0"/>
        <w:ind w:firstLine="54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15"/>
        <w:gridCol w:w="689"/>
        <w:gridCol w:w="689"/>
        <w:gridCol w:w="689"/>
        <w:gridCol w:w="689"/>
        <w:gridCol w:w="692"/>
        <w:gridCol w:w="647"/>
        <w:gridCol w:w="717"/>
        <w:gridCol w:w="718"/>
        <w:gridCol w:w="701"/>
        <w:gridCol w:w="680"/>
        <w:gridCol w:w="706"/>
        <w:gridCol w:w="562"/>
        <w:gridCol w:w="701"/>
        <w:gridCol w:w="762"/>
        <w:gridCol w:w="796"/>
        <w:gridCol w:w="706"/>
        <w:gridCol w:w="701"/>
        <w:gridCol w:w="557"/>
        <w:gridCol w:w="570"/>
      </w:tblGrid>
      <w:tr>
        <w:tc>
          <w:tcPr>
            <w:tcW w:w="615" w:type="dxa"/>
            <w:tcBorders>
              <w:left w:val="nil"/>
            </w:tcBorders>
            <w:vMerge w:val="restart"/>
          </w:tcPr>
          <w:p>
            <w:pPr>
              <w:pStyle w:val="0"/>
              <w:jc w:val="center"/>
            </w:pPr>
            <w:r>
              <w:rPr>
                <w:sz w:val="20"/>
              </w:rPr>
              <w:t xml:space="preserve">Уникальный номер реестровой записи </w:t>
            </w:r>
            <w:hyperlink w:history="0" w:anchor="P1821" w:tooltip="&lt;4&gt; Формируется в соответствии с государственным заданием.">
              <w:r>
                <w:rPr>
                  <w:sz w:val="20"/>
                  <w:color w:val="0000ff"/>
                </w:rPr>
                <w:t xml:space="preserve">&lt;4&gt;</w:t>
              </w:r>
            </w:hyperlink>
          </w:p>
        </w:tc>
        <w:tc>
          <w:tcPr>
            <w:gridSpan w:val="3"/>
            <w:tcW w:w="2067" w:type="dxa"/>
            <w:vMerge w:val="restart"/>
          </w:tcPr>
          <w:p>
            <w:pPr>
              <w:pStyle w:val="0"/>
              <w:jc w:val="center"/>
            </w:pPr>
            <w:r>
              <w:rPr>
                <w:sz w:val="20"/>
              </w:rPr>
              <w:t xml:space="preserve">Показатель, характеризующий содержание работы</w:t>
            </w:r>
          </w:p>
        </w:tc>
        <w:tc>
          <w:tcPr>
            <w:gridSpan w:val="2"/>
            <w:tcW w:w="1381" w:type="dxa"/>
            <w:vMerge w:val="restart"/>
          </w:tcPr>
          <w:p>
            <w:pPr>
              <w:pStyle w:val="0"/>
              <w:jc w:val="center"/>
            </w:pPr>
            <w:r>
              <w:rPr>
                <w:sz w:val="20"/>
              </w:rPr>
              <w:t xml:space="preserve">Показатель, характеризующий условия (формы) выполнения работы</w:t>
            </w:r>
          </w:p>
        </w:tc>
        <w:tc>
          <w:tcPr>
            <w:gridSpan w:val="13"/>
            <w:tcW w:w="8954" w:type="dxa"/>
          </w:tcPr>
          <w:p>
            <w:pPr>
              <w:pStyle w:val="0"/>
              <w:jc w:val="center"/>
            </w:pPr>
            <w:r>
              <w:rPr>
                <w:sz w:val="20"/>
              </w:rPr>
              <w:t xml:space="preserve">Показатель объема работы</w:t>
            </w:r>
          </w:p>
        </w:tc>
        <w:tc>
          <w:tcPr>
            <w:tcW w:w="570" w:type="dxa"/>
            <w:tcBorders>
              <w:right w:val="nil"/>
            </w:tcBorders>
            <w:vMerge w:val="restart"/>
          </w:tcPr>
          <w:p>
            <w:pPr>
              <w:pStyle w:val="0"/>
              <w:jc w:val="center"/>
            </w:pPr>
            <w:r>
              <w:rPr>
                <w:sz w:val="20"/>
              </w:rPr>
              <w:t xml:space="preserve">Размер платы (цена, тариф)</w:t>
            </w:r>
          </w:p>
        </w:tc>
      </w:tr>
      <w:tr>
        <w:tc>
          <w:tcPr>
            <w:tcBorders>
              <w:left w:val="nil"/>
            </w:tcBorders>
            <w:vMerge w:val="continue"/>
          </w:tcPr>
          <w:p/>
        </w:tc>
        <w:tc>
          <w:tcPr>
            <w:gridSpan w:val="3"/>
            <w:vMerge w:val="continue"/>
          </w:tcPr>
          <w:p/>
        </w:tc>
        <w:tc>
          <w:tcPr>
            <w:gridSpan w:val="2"/>
            <w:vMerge w:val="continue"/>
          </w:tcPr>
          <w:p/>
        </w:tc>
        <w:tc>
          <w:tcPr>
            <w:tcW w:w="647" w:type="dxa"/>
            <w:vMerge w:val="restart"/>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gridSpan w:val="2"/>
            <w:tcW w:w="1435" w:type="dxa"/>
          </w:tcPr>
          <w:p>
            <w:pPr>
              <w:pStyle w:val="0"/>
              <w:jc w:val="center"/>
            </w:pPr>
            <w:r>
              <w:rPr>
                <w:sz w:val="20"/>
              </w:rPr>
              <w:t xml:space="preserve">единица измерения</w:t>
            </w:r>
          </w:p>
        </w:tc>
        <w:tc>
          <w:tcPr>
            <w:gridSpan w:val="7"/>
            <w:tcW w:w="4908" w:type="dxa"/>
          </w:tcPr>
          <w:p>
            <w:pPr>
              <w:pStyle w:val="0"/>
              <w:jc w:val="center"/>
            </w:pPr>
            <w:r>
              <w:rPr>
                <w:sz w:val="20"/>
              </w:rPr>
              <w:t xml:space="preserve">значение</w:t>
            </w:r>
          </w:p>
        </w:tc>
        <w:tc>
          <w:tcPr>
            <w:tcW w:w="706" w:type="dxa"/>
            <w:vMerge w:val="restart"/>
          </w:tcPr>
          <w:p>
            <w:pPr>
              <w:pStyle w:val="0"/>
              <w:jc w:val="center"/>
            </w:pPr>
            <w:r>
              <w:rPr>
                <w:sz w:val="20"/>
              </w:rPr>
              <w:t xml:space="preserve">допустимое (возможное) отклонение </w:t>
            </w:r>
            <w:hyperlink w:history="0" w:anchor="P182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701" w:type="dxa"/>
            <w:vMerge w:val="restart"/>
          </w:tcPr>
          <w:p>
            <w:pPr>
              <w:pStyle w:val="0"/>
              <w:jc w:val="center"/>
            </w:pPr>
            <w:r>
              <w:rPr>
                <w:sz w:val="20"/>
              </w:rPr>
              <w:t xml:space="preserve">отклонение, превышающее допустимое (возможное) отклонение </w:t>
            </w:r>
            <w:hyperlink w:history="0" w:anchor="P1828" w:tooltip="&lt;9&gt; Рассчитывается при формировании отчета за год как разница показателей граф 10, 12 и 17.">
              <w:r>
                <w:rPr>
                  <w:sz w:val="20"/>
                  <w:color w:val="0000ff"/>
                </w:rPr>
                <w:t xml:space="preserve">&lt;9&gt;</w:t>
              </w:r>
            </w:hyperlink>
          </w:p>
        </w:tc>
        <w:tc>
          <w:tcPr>
            <w:tcW w:w="557" w:type="dxa"/>
            <w:vMerge w:val="restart"/>
          </w:tcPr>
          <w:p>
            <w:pPr>
              <w:pStyle w:val="0"/>
              <w:jc w:val="center"/>
            </w:pPr>
            <w:r>
              <w:rPr>
                <w:sz w:val="20"/>
              </w:rPr>
              <w:t xml:space="preserve">причина отклонения</w:t>
            </w:r>
          </w:p>
        </w:tc>
        <w:tc>
          <w:tcPr>
            <w:tcBorders>
              <w:right w:val="nil"/>
            </w:tcBorders>
            <w:vMerge w:val="continue"/>
          </w:tcPr>
          <w:p/>
        </w:tc>
      </w:tr>
      <w:tr>
        <w:tc>
          <w:tcPr>
            <w:tcBorders>
              <w:left w:val="nil"/>
            </w:tcBorders>
            <w:vMerge w:val="continue"/>
          </w:tcPr>
          <w:p/>
        </w:tc>
        <w:tc>
          <w:tcPr>
            <w:tcW w:w="689"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89"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89"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89"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tcW w:w="692" w:type="dxa"/>
          </w:tcPr>
          <w:p>
            <w:pPr>
              <w:pStyle w:val="0"/>
              <w:jc w:val="center"/>
            </w:pPr>
            <w:r>
              <w:rPr>
                <w:sz w:val="20"/>
              </w:rPr>
              <w:t xml:space="preserve">наименование показателя </w:t>
            </w:r>
            <w:hyperlink w:history="0" w:anchor="P1821" w:tooltip="&lt;4&gt; Формируется в соответствии с государственным заданием.">
              <w:r>
                <w:rPr>
                  <w:sz w:val="20"/>
                  <w:color w:val="0000ff"/>
                </w:rPr>
                <w:t xml:space="preserve">&lt;4&gt;</w:t>
              </w:r>
            </w:hyperlink>
          </w:p>
        </w:tc>
        <w:tc>
          <w:tcPr>
            <w:vMerge w:val="continue"/>
          </w:tcPr>
          <w:p/>
        </w:tc>
        <w:tc>
          <w:tcPr>
            <w:tcW w:w="717" w:type="dxa"/>
          </w:tcPr>
          <w:p>
            <w:pPr>
              <w:pStyle w:val="0"/>
              <w:jc w:val="center"/>
            </w:pPr>
            <w:r>
              <w:rPr>
                <w:sz w:val="20"/>
              </w:rPr>
              <w:t xml:space="preserve">наименование </w:t>
            </w:r>
            <w:hyperlink w:history="0" w:anchor="P1821" w:tooltip="&lt;4&gt; Формируется в соответствии с государственным заданием.">
              <w:r>
                <w:rPr>
                  <w:sz w:val="20"/>
                  <w:color w:val="0000ff"/>
                </w:rPr>
                <w:t xml:space="preserve">&lt;4&gt;</w:t>
              </w:r>
            </w:hyperlink>
          </w:p>
        </w:tc>
        <w:tc>
          <w:tcPr>
            <w:tcW w:w="718" w:type="dxa"/>
          </w:tcPr>
          <w:p>
            <w:pPr>
              <w:pStyle w:val="0"/>
              <w:jc w:val="center"/>
            </w:pPr>
            <w:r>
              <w:rPr>
                <w:sz w:val="20"/>
              </w:rPr>
              <w:t xml:space="preserve">код по </w:t>
            </w:r>
            <w:hyperlink w:history="0" r:id="rId7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821" w:tooltip="&lt;4&gt; Формируется в соответствии с государственным заданием.">
              <w:r>
                <w:rPr>
                  <w:sz w:val="20"/>
                  <w:color w:val="0000ff"/>
                </w:rPr>
                <w:t xml:space="preserve">&lt;4&gt;</w:t>
              </w:r>
            </w:hyperlink>
          </w:p>
        </w:tc>
        <w:tc>
          <w:tcPr>
            <w:tcW w:w="701" w:type="dxa"/>
          </w:tcPr>
          <w:p>
            <w:pPr>
              <w:pStyle w:val="0"/>
              <w:jc w:val="center"/>
            </w:pPr>
            <w:r>
              <w:rPr>
                <w:sz w:val="20"/>
              </w:rPr>
              <w:t xml:space="preserve">утверждено в государственном задании на год </w:t>
            </w:r>
            <w:hyperlink w:history="0" w:anchor="P182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утверждено в государственном задании на отчетную дату </w:t>
            </w:r>
            <w:hyperlink w:history="0" w:anchor="P182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706" w:type="dxa"/>
          </w:tcPr>
          <w:p>
            <w:pPr>
              <w:pStyle w:val="0"/>
              <w:jc w:val="center"/>
            </w:pPr>
            <w:r>
              <w:rPr>
                <w:sz w:val="20"/>
              </w:rPr>
              <w:t xml:space="preserve">исполнено на отчетную дату </w:t>
            </w:r>
            <w:hyperlink w:history="0" w:anchor="P182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tcW w:w="562" w:type="dxa"/>
          </w:tcPr>
          <w:p>
            <w:pPr>
              <w:pStyle w:val="0"/>
              <w:jc w:val="center"/>
            </w:pPr>
            <w:r>
              <w:rPr>
                <w:sz w:val="20"/>
              </w:rPr>
              <w:t xml:space="preserve">наименование научной темы </w:t>
            </w:r>
            <w:hyperlink w:history="0" w:anchor="P1821" w:tooltip="&lt;4&gt; Формируется в соответствии с государственным заданием.">
              <w:r>
                <w:rPr>
                  <w:sz w:val="20"/>
                  <w:color w:val="0000ff"/>
                </w:rPr>
                <w:t xml:space="preserve">&lt;4&gt;</w:t>
              </w:r>
            </w:hyperlink>
          </w:p>
        </w:tc>
        <w:tc>
          <w:tcPr>
            <w:tcW w:w="701" w:type="dxa"/>
          </w:tcPr>
          <w:p>
            <w:pPr>
              <w:pStyle w:val="0"/>
              <w:jc w:val="center"/>
            </w:pPr>
            <w:r>
              <w:rPr>
                <w:sz w:val="20"/>
              </w:rPr>
              <w:t xml:space="preserve">плановый результат выполнения научной темы </w:t>
            </w:r>
            <w:hyperlink w:history="0" w:anchor="P1821" w:tooltip="&lt;4&gt; Формируется в соответствии с государственным заданием.">
              <w:r>
                <w:rPr>
                  <w:sz w:val="20"/>
                  <w:color w:val="0000ff"/>
                </w:rPr>
                <w:t xml:space="preserve">&lt;4&gt;</w:t>
              </w:r>
            </w:hyperlink>
          </w:p>
        </w:tc>
        <w:tc>
          <w:tcPr>
            <w:tcW w:w="762" w:type="dxa"/>
          </w:tcPr>
          <w:p>
            <w:pPr>
              <w:pStyle w:val="0"/>
              <w:jc w:val="center"/>
            </w:pPr>
            <w:r>
              <w:rPr>
                <w:sz w:val="20"/>
              </w:rPr>
              <w:t xml:space="preserve">плановый результат выполнения научной темы на отчетную дату </w:t>
            </w:r>
            <w:hyperlink w:history="0" w:anchor="P1824" w:tooltip="&lt;6-1&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w:r>
                <w:rPr>
                  <w:sz w:val="20"/>
                  <w:color w:val="0000ff"/>
                </w:rPr>
                <w:t xml:space="preserve">&lt;6-1&gt;</w:t>
              </w:r>
            </w:hyperlink>
          </w:p>
        </w:tc>
        <w:tc>
          <w:tcPr>
            <w:tcW w:w="796" w:type="dxa"/>
          </w:tcPr>
          <w:p>
            <w:pPr>
              <w:pStyle w:val="0"/>
              <w:jc w:val="center"/>
            </w:pPr>
            <w:r>
              <w:rPr>
                <w:sz w:val="20"/>
              </w:rPr>
              <w:t xml:space="preserve">достигнутый результат выполнения научной темы на отчетную дату </w:t>
            </w:r>
            <w:hyperlink w:history="0" w:anchor="P1825" w:tooltip="&lt;6-2&gt; В предварительном отчете о выполнении государственного задания указывается результат выполнения научной темы научного исследования (разработки), запланированный к достижению по завершении текущего финансового года.">
              <w:r>
                <w:rPr>
                  <w:sz w:val="20"/>
                  <w:color w:val="0000ff"/>
                </w:rPr>
                <w:t xml:space="preserve">&lt;6-2&gt;</w:t>
              </w:r>
            </w:hyperlink>
          </w:p>
        </w:tc>
        <w:tc>
          <w:tcPr>
            <w:vMerge w:val="continue"/>
          </w:tcPr>
          <w:p/>
        </w:tc>
        <w:tc>
          <w:tcPr>
            <w:vMerge w:val="continue"/>
          </w:tcPr>
          <w:p/>
        </w:tc>
        <w:tc>
          <w:tcPr>
            <w:vMerge w:val="continue"/>
          </w:tcPr>
          <w:p/>
        </w:tc>
        <w:tc>
          <w:tcPr>
            <w:tcBorders>
              <w:right w:val="nil"/>
            </w:tcBorders>
            <w:vMerge w:val="continue"/>
          </w:tcPr>
          <w:p/>
        </w:tc>
      </w:tr>
      <w:tr>
        <w:tc>
          <w:tcPr>
            <w:tcW w:w="615" w:type="dxa"/>
            <w:tcBorders>
              <w:left w:val="nil"/>
            </w:tcBorders>
          </w:tcPr>
          <w:p>
            <w:pPr>
              <w:pStyle w:val="0"/>
              <w:jc w:val="center"/>
            </w:pPr>
            <w:r>
              <w:rPr>
                <w:sz w:val="20"/>
              </w:rPr>
              <w:t xml:space="preserve">1</w:t>
            </w:r>
          </w:p>
        </w:tc>
        <w:tc>
          <w:tcPr>
            <w:tcW w:w="689" w:type="dxa"/>
          </w:tcPr>
          <w:p>
            <w:pPr>
              <w:pStyle w:val="0"/>
              <w:jc w:val="center"/>
            </w:pPr>
            <w:r>
              <w:rPr>
                <w:sz w:val="20"/>
              </w:rPr>
              <w:t xml:space="preserve">2</w:t>
            </w:r>
          </w:p>
        </w:tc>
        <w:tc>
          <w:tcPr>
            <w:tcW w:w="689" w:type="dxa"/>
          </w:tcPr>
          <w:p>
            <w:pPr>
              <w:pStyle w:val="0"/>
              <w:jc w:val="center"/>
            </w:pPr>
            <w:r>
              <w:rPr>
                <w:sz w:val="20"/>
              </w:rPr>
              <w:t xml:space="preserve">3</w:t>
            </w:r>
          </w:p>
        </w:tc>
        <w:tc>
          <w:tcPr>
            <w:tcW w:w="689" w:type="dxa"/>
          </w:tcPr>
          <w:p>
            <w:pPr>
              <w:pStyle w:val="0"/>
              <w:jc w:val="center"/>
            </w:pPr>
            <w:r>
              <w:rPr>
                <w:sz w:val="20"/>
              </w:rPr>
              <w:t xml:space="preserve">4</w:t>
            </w:r>
          </w:p>
        </w:tc>
        <w:tc>
          <w:tcPr>
            <w:tcW w:w="689" w:type="dxa"/>
          </w:tcPr>
          <w:p>
            <w:pPr>
              <w:pStyle w:val="0"/>
              <w:jc w:val="center"/>
            </w:pPr>
            <w:r>
              <w:rPr>
                <w:sz w:val="20"/>
              </w:rPr>
              <w:t xml:space="preserve">5</w:t>
            </w:r>
          </w:p>
        </w:tc>
        <w:tc>
          <w:tcPr>
            <w:tcW w:w="692" w:type="dxa"/>
          </w:tcPr>
          <w:p>
            <w:pPr>
              <w:pStyle w:val="0"/>
              <w:jc w:val="center"/>
            </w:pPr>
            <w:r>
              <w:rPr>
                <w:sz w:val="20"/>
              </w:rPr>
              <w:t xml:space="preserve">6</w:t>
            </w:r>
          </w:p>
        </w:tc>
        <w:tc>
          <w:tcPr>
            <w:tcW w:w="647" w:type="dxa"/>
          </w:tcPr>
          <w:p>
            <w:pPr>
              <w:pStyle w:val="0"/>
              <w:jc w:val="center"/>
            </w:pPr>
            <w:r>
              <w:rPr>
                <w:sz w:val="20"/>
              </w:rPr>
              <w:t xml:space="preserve">7</w:t>
            </w:r>
          </w:p>
        </w:tc>
        <w:tc>
          <w:tcPr>
            <w:tcW w:w="717" w:type="dxa"/>
          </w:tcPr>
          <w:p>
            <w:pPr>
              <w:pStyle w:val="0"/>
              <w:jc w:val="center"/>
            </w:pPr>
            <w:r>
              <w:rPr>
                <w:sz w:val="20"/>
              </w:rPr>
              <w:t xml:space="preserve">8</w:t>
            </w:r>
          </w:p>
        </w:tc>
        <w:tc>
          <w:tcPr>
            <w:tcW w:w="718" w:type="dxa"/>
          </w:tcPr>
          <w:p>
            <w:pPr>
              <w:pStyle w:val="0"/>
              <w:jc w:val="center"/>
            </w:pPr>
            <w:r>
              <w:rPr>
                <w:sz w:val="20"/>
              </w:rPr>
              <w:t xml:space="preserve">9</w:t>
            </w:r>
          </w:p>
        </w:tc>
        <w:tc>
          <w:tcPr>
            <w:tcW w:w="701" w:type="dxa"/>
          </w:tcPr>
          <w:bookmarkStart w:id="1722" w:name="P1722"/>
          <w:bookmarkEnd w:id="1722"/>
          <w:p>
            <w:pPr>
              <w:pStyle w:val="0"/>
              <w:jc w:val="center"/>
            </w:pPr>
            <w:r>
              <w:rPr>
                <w:sz w:val="20"/>
              </w:rPr>
              <w:t xml:space="preserve">10</w:t>
            </w:r>
          </w:p>
        </w:tc>
        <w:tc>
          <w:tcPr>
            <w:tcW w:w="680" w:type="dxa"/>
          </w:tcPr>
          <w:p>
            <w:pPr>
              <w:pStyle w:val="0"/>
              <w:jc w:val="center"/>
            </w:pPr>
            <w:r>
              <w:rPr>
                <w:sz w:val="20"/>
              </w:rPr>
              <w:t xml:space="preserve">11</w:t>
            </w:r>
          </w:p>
        </w:tc>
        <w:tc>
          <w:tcPr>
            <w:tcW w:w="706" w:type="dxa"/>
          </w:tcPr>
          <w:bookmarkStart w:id="1724" w:name="P1724"/>
          <w:bookmarkEnd w:id="1724"/>
          <w:p>
            <w:pPr>
              <w:pStyle w:val="0"/>
              <w:jc w:val="center"/>
            </w:pPr>
            <w:r>
              <w:rPr>
                <w:sz w:val="20"/>
              </w:rPr>
              <w:t xml:space="preserve">12</w:t>
            </w:r>
          </w:p>
        </w:tc>
        <w:tc>
          <w:tcPr>
            <w:tcW w:w="562" w:type="dxa"/>
          </w:tcPr>
          <w:p>
            <w:pPr>
              <w:pStyle w:val="0"/>
              <w:jc w:val="center"/>
            </w:pPr>
            <w:r>
              <w:rPr>
                <w:sz w:val="20"/>
              </w:rPr>
              <w:t xml:space="preserve">13</w:t>
            </w:r>
          </w:p>
        </w:tc>
        <w:tc>
          <w:tcPr>
            <w:tcW w:w="701" w:type="dxa"/>
          </w:tcPr>
          <w:p>
            <w:pPr>
              <w:pStyle w:val="0"/>
              <w:jc w:val="center"/>
            </w:pPr>
            <w:r>
              <w:rPr>
                <w:sz w:val="20"/>
              </w:rPr>
              <w:t xml:space="preserve">14</w:t>
            </w:r>
          </w:p>
        </w:tc>
        <w:tc>
          <w:tcPr>
            <w:tcW w:w="762" w:type="dxa"/>
          </w:tcPr>
          <w:p>
            <w:pPr>
              <w:pStyle w:val="0"/>
              <w:jc w:val="center"/>
            </w:pPr>
            <w:r>
              <w:rPr>
                <w:sz w:val="20"/>
              </w:rPr>
              <w:t xml:space="preserve">15</w:t>
            </w:r>
          </w:p>
        </w:tc>
        <w:tc>
          <w:tcPr>
            <w:tcW w:w="796" w:type="dxa"/>
          </w:tcPr>
          <w:p>
            <w:pPr>
              <w:pStyle w:val="0"/>
              <w:jc w:val="center"/>
            </w:pPr>
            <w:r>
              <w:rPr>
                <w:sz w:val="20"/>
              </w:rPr>
              <w:t xml:space="preserve">16</w:t>
            </w:r>
          </w:p>
        </w:tc>
        <w:tc>
          <w:tcPr>
            <w:tcW w:w="706" w:type="dxa"/>
          </w:tcPr>
          <w:bookmarkStart w:id="1729" w:name="P1729"/>
          <w:bookmarkEnd w:id="1729"/>
          <w:p>
            <w:pPr>
              <w:pStyle w:val="0"/>
              <w:jc w:val="center"/>
            </w:pPr>
            <w:r>
              <w:rPr>
                <w:sz w:val="20"/>
              </w:rPr>
              <w:t xml:space="preserve">17</w:t>
            </w:r>
          </w:p>
        </w:tc>
        <w:tc>
          <w:tcPr>
            <w:tcW w:w="701" w:type="dxa"/>
          </w:tcPr>
          <w:p>
            <w:pPr>
              <w:pStyle w:val="0"/>
              <w:jc w:val="center"/>
            </w:pPr>
            <w:r>
              <w:rPr>
                <w:sz w:val="20"/>
              </w:rPr>
              <w:t xml:space="preserve">18</w:t>
            </w:r>
          </w:p>
        </w:tc>
        <w:tc>
          <w:tcPr>
            <w:tcW w:w="557" w:type="dxa"/>
          </w:tcPr>
          <w:p>
            <w:pPr>
              <w:pStyle w:val="0"/>
              <w:jc w:val="center"/>
            </w:pPr>
            <w:r>
              <w:rPr>
                <w:sz w:val="20"/>
              </w:rPr>
              <w:t xml:space="preserve">19</w:t>
            </w:r>
          </w:p>
        </w:tc>
        <w:tc>
          <w:tcPr>
            <w:tcW w:w="570" w:type="dxa"/>
            <w:tcBorders>
              <w:right w:val="nil"/>
            </w:tcBorders>
          </w:tcPr>
          <w:p>
            <w:pPr>
              <w:pStyle w:val="0"/>
              <w:jc w:val="center"/>
            </w:pPr>
            <w:r>
              <w:rPr>
                <w:sz w:val="20"/>
              </w:rPr>
              <w:t xml:space="preserve">20</w:t>
            </w:r>
          </w:p>
        </w:tc>
      </w:tr>
      <w:tr>
        <w:tc>
          <w:tcPr>
            <w:tcW w:w="615" w:type="dxa"/>
            <w:tcBorders>
              <w:left w:val="nil"/>
            </w:tcBorders>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92" w:type="dxa"/>
          </w:tcPr>
          <w:p>
            <w:pPr>
              <w:pStyle w:val="0"/>
            </w:pPr>
            <w:r>
              <w:rPr>
                <w:sz w:val="20"/>
              </w:rPr>
            </w:r>
          </w:p>
        </w:tc>
        <w:tc>
          <w:tcPr>
            <w:tcW w:w="647" w:type="dxa"/>
          </w:tcPr>
          <w:p>
            <w:pPr>
              <w:pStyle w:val="0"/>
            </w:pPr>
            <w:r>
              <w:rPr>
                <w:sz w:val="20"/>
              </w:rPr>
            </w:r>
          </w:p>
        </w:tc>
        <w:tc>
          <w:tcPr>
            <w:tcW w:w="717" w:type="dxa"/>
          </w:tcPr>
          <w:p>
            <w:pPr>
              <w:pStyle w:val="0"/>
            </w:pPr>
            <w:r>
              <w:rPr>
                <w:sz w:val="20"/>
              </w:rPr>
            </w:r>
          </w:p>
        </w:tc>
        <w:tc>
          <w:tcPr>
            <w:tcW w:w="718" w:type="dxa"/>
          </w:tcPr>
          <w:p>
            <w:pPr>
              <w:pStyle w:val="0"/>
            </w:pPr>
            <w:r>
              <w:rPr>
                <w:sz w:val="20"/>
              </w:rPr>
            </w:r>
          </w:p>
        </w:tc>
        <w:tc>
          <w:tcPr>
            <w:tcW w:w="701" w:type="dxa"/>
          </w:tcPr>
          <w:p>
            <w:pPr>
              <w:pStyle w:val="0"/>
            </w:pPr>
            <w:r>
              <w:rPr>
                <w:sz w:val="20"/>
              </w:rPr>
            </w:r>
          </w:p>
        </w:tc>
        <w:tc>
          <w:tcPr>
            <w:tcW w:w="680" w:type="dxa"/>
          </w:tcPr>
          <w:p>
            <w:pPr>
              <w:pStyle w:val="0"/>
            </w:pPr>
            <w:r>
              <w:rPr>
                <w:sz w:val="20"/>
              </w:rPr>
            </w:r>
          </w:p>
        </w:tc>
        <w:tc>
          <w:tcPr>
            <w:tcW w:w="706" w:type="dxa"/>
          </w:tcPr>
          <w:p>
            <w:pPr>
              <w:pStyle w:val="0"/>
            </w:pPr>
            <w:r>
              <w:rPr>
                <w:sz w:val="20"/>
              </w:rPr>
            </w:r>
          </w:p>
        </w:tc>
        <w:tc>
          <w:tcPr>
            <w:tcW w:w="562" w:type="dxa"/>
          </w:tcPr>
          <w:p>
            <w:pPr>
              <w:pStyle w:val="0"/>
            </w:pPr>
            <w:r>
              <w:rPr>
                <w:sz w:val="20"/>
              </w:rPr>
            </w:r>
          </w:p>
        </w:tc>
        <w:tc>
          <w:tcPr>
            <w:tcW w:w="701" w:type="dxa"/>
          </w:tcPr>
          <w:p>
            <w:pPr>
              <w:pStyle w:val="0"/>
            </w:pPr>
            <w:r>
              <w:rPr>
                <w:sz w:val="20"/>
              </w:rPr>
            </w:r>
          </w:p>
        </w:tc>
        <w:tc>
          <w:tcPr>
            <w:tcW w:w="762" w:type="dxa"/>
          </w:tcPr>
          <w:p>
            <w:pPr>
              <w:pStyle w:val="0"/>
            </w:pPr>
            <w:r>
              <w:rPr>
                <w:sz w:val="20"/>
              </w:rPr>
            </w:r>
          </w:p>
        </w:tc>
        <w:tc>
          <w:tcPr>
            <w:tcW w:w="796" w:type="dxa"/>
          </w:tcPr>
          <w:p>
            <w:pPr>
              <w:pStyle w:val="0"/>
            </w:pPr>
            <w:r>
              <w:rPr>
                <w:sz w:val="20"/>
              </w:rPr>
            </w:r>
          </w:p>
        </w:tc>
        <w:tc>
          <w:tcPr>
            <w:tcW w:w="706" w:type="dxa"/>
          </w:tcPr>
          <w:p>
            <w:pPr>
              <w:pStyle w:val="0"/>
            </w:pPr>
            <w:r>
              <w:rPr>
                <w:sz w:val="20"/>
              </w:rPr>
            </w:r>
          </w:p>
        </w:tc>
        <w:tc>
          <w:tcPr>
            <w:tcW w:w="701" w:type="dxa"/>
          </w:tcPr>
          <w:p>
            <w:pPr>
              <w:pStyle w:val="0"/>
            </w:pPr>
            <w:r>
              <w:rPr>
                <w:sz w:val="20"/>
              </w:rPr>
            </w:r>
          </w:p>
        </w:tc>
        <w:tc>
          <w:tcPr>
            <w:tcW w:w="557" w:type="dxa"/>
          </w:tcPr>
          <w:p>
            <w:pPr>
              <w:pStyle w:val="0"/>
            </w:pPr>
            <w:r>
              <w:rPr>
                <w:sz w:val="20"/>
              </w:rPr>
            </w:r>
          </w:p>
        </w:tc>
        <w:tc>
          <w:tcPr>
            <w:tcW w:w="570" w:type="dxa"/>
            <w:tcBorders>
              <w:right w:val="nil"/>
            </w:tcBorders>
          </w:tcPr>
          <w:p>
            <w:pPr>
              <w:pStyle w:val="0"/>
            </w:pPr>
            <w:r>
              <w:rPr>
                <w:sz w:val="20"/>
              </w:rPr>
            </w:r>
          </w:p>
        </w:tc>
      </w:tr>
      <w:tr>
        <w:tc>
          <w:tcPr>
            <w:tcW w:w="615" w:type="dxa"/>
            <w:tcBorders>
              <w:left w:val="nil"/>
            </w:tcBorders>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92" w:type="dxa"/>
          </w:tcPr>
          <w:p>
            <w:pPr>
              <w:pStyle w:val="0"/>
            </w:pPr>
            <w:r>
              <w:rPr>
                <w:sz w:val="20"/>
              </w:rPr>
            </w:r>
          </w:p>
        </w:tc>
        <w:tc>
          <w:tcPr>
            <w:tcW w:w="647" w:type="dxa"/>
          </w:tcPr>
          <w:p>
            <w:pPr>
              <w:pStyle w:val="0"/>
            </w:pPr>
            <w:r>
              <w:rPr>
                <w:sz w:val="20"/>
              </w:rPr>
            </w:r>
          </w:p>
        </w:tc>
        <w:tc>
          <w:tcPr>
            <w:tcW w:w="717" w:type="dxa"/>
          </w:tcPr>
          <w:p>
            <w:pPr>
              <w:pStyle w:val="0"/>
            </w:pPr>
            <w:r>
              <w:rPr>
                <w:sz w:val="20"/>
              </w:rPr>
            </w:r>
          </w:p>
        </w:tc>
        <w:tc>
          <w:tcPr>
            <w:tcW w:w="718" w:type="dxa"/>
          </w:tcPr>
          <w:p>
            <w:pPr>
              <w:pStyle w:val="0"/>
            </w:pPr>
            <w:r>
              <w:rPr>
                <w:sz w:val="20"/>
              </w:rPr>
            </w:r>
          </w:p>
        </w:tc>
        <w:tc>
          <w:tcPr>
            <w:tcW w:w="701" w:type="dxa"/>
          </w:tcPr>
          <w:p>
            <w:pPr>
              <w:pStyle w:val="0"/>
            </w:pPr>
            <w:r>
              <w:rPr>
                <w:sz w:val="20"/>
              </w:rPr>
            </w:r>
          </w:p>
        </w:tc>
        <w:tc>
          <w:tcPr>
            <w:tcW w:w="680" w:type="dxa"/>
          </w:tcPr>
          <w:p>
            <w:pPr>
              <w:pStyle w:val="0"/>
            </w:pPr>
            <w:r>
              <w:rPr>
                <w:sz w:val="20"/>
              </w:rPr>
            </w:r>
          </w:p>
        </w:tc>
        <w:tc>
          <w:tcPr>
            <w:tcW w:w="706" w:type="dxa"/>
          </w:tcPr>
          <w:p>
            <w:pPr>
              <w:pStyle w:val="0"/>
            </w:pPr>
            <w:r>
              <w:rPr>
                <w:sz w:val="20"/>
              </w:rPr>
            </w:r>
          </w:p>
        </w:tc>
        <w:tc>
          <w:tcPr>
            <w:tcW w:w="562" w:type="dxa"/>
          </w:tcPr>
          <w:p>
            <w:pPr>
              <w:pStyle w:val="0"/>
            </w:pPr>
            <w:r>
              <w:rPr>
                <w:sz w:val="20"/>
              </w:rPr>
            </w:r>
          </w:p>
        </w:tc>
        <w:tc>
          <w:tcPr>
            <w:tcW w:w="701" w:type="dxa"/>
          </w:tcPr>
          <w:p>
            <w:pPr>
              <w:pStyle w:val="0"/>
            </w:pPr>
            <w:r>
              <w:rPr>
                <w:sz w:val="20"/>
              </w:rPr>
            </w:r>
          </w:p>
        </w:tc>
        <w:tc>
          <w:tcPr>
            <w:tcW w:w="762" w:type="dxa"/>
          </w:tcPr>
          <w:p>
            <w:pPr>
              <w:pStyle w:val="0"/>
            </w:pPr>
            <w:r>
              <w:rPr>
                <w:sz w:val="20"/>
              </w:rPr>
            </w:r>
          </w:p>
        </w:tc>
        <w:tc>
          <w:tcPr>
            <w:tcW w:w="796" w:type="dxa"/>
          </w:tcPr>
          <w:p>
            <w:pPr>
              <w:pStyle w:val="0"/>
            </w:pPr>
            <w:r>
              <w:rPr>
                <w:sz w:val="20"/>
              </w:rPr>
            </w:r>
          </w:p>
        </w:tc>
        <w:tc>
          <w:tcPr>
            <w:tcW w:w="706" w:type="dxa"/>
          </w:tcPr>
          <w:p>
            <w:pPr>
              <w:pStyle w:val="0"/>
            </w:pPr>
            <w:r>
              <w:rPr>
                <w:sz w:val="20"/>
              </w:rPr>
            </w:r>
          </w:p>
        </w:tc>
        <w:tc>
          <w:tcPr>
            <w:tcW w:w="701" w:type="dxa"/>
          </w:tcPr>
          <w:p>
            <w:pPr>
              <w:pStyle w:val="0"/>
            </w:pPr>
            <w:r>
              <w:rPr>
                <w:sz w:val="20"/>
              </w:rPr>
            </w:r>
          </w:p>
        </w:tc>
        <w:tc>
          <w:tcPr>
            <w:tcW w:w="557" w:type="dxa"/>
          </w:tcPr>
          <w:p>
            <w:pPr>
              <w:pStyle w:val="0"/>
            </w:pPr>
            <w:r>
              <w:rPr>
                <w:sz w:val="20"/>
              </w:rPr>
            </w:r>
          </w:p>
        </w:tc>
        <w:tc>
          <w:tcPr>
            <w:tcW w:w="570" w:type="dxa"/>
            <w:tcBorders>
              <w:right w:val="nil"/>
            </w:tcBorders>
          </w:tcPr>
          <w:p>
            <w:pPr>
              <w:pStyle w:val="0"/>
            </w:pPr>
            <w:r>
              <w:rPr>
                <w:sz w:val="20"/>
              </w:rPr>
            </w:r>
          </w:p>
        </w:tc>
      </w:tr>
      <w:tr>
        <w:tc>
          <w:tcPr>
            <w:tcW w:w="615" w:type="dxa"/>
            <w:tcBorders>
              <w:left w:val="nil"/>
            </w:tcBorders>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92" w:type="dxa"/>
          </w:tcPr>
          <w:p>
            <w:pPr>
              <w:pStyle w:val="0"/>
            </w:pPr>
            <w:r>
              <w:rPr>
                <w:sz w:val="20"/>
              </w:rPr>
            </w:r>
          </w:p>
        </w:tc>
        <w:tc>
          <w:tcPr>
            <w:tcW w:w="647" w:type="dxa"/>
          </w:tcPr>
          <w:p>
            <w:pPr>
              <w:pStyle w:val="0"/>
            </w:pPr>
            <w:r>
              <w:rPr>
                <w:sz w:val="20"/>
              </w:rPr>
            </w:r>
          </w:p>
        </w:tc>
        <w:tc>
          <w:tcPr>
            <w:tcW w:w="717" w:type="dxa"/>
          </w:tcPr>
          <w:p>
            <w:pPr>
              <w:pStyle w:val="0"/>
            </w:pPr>
            <w:r>
              <w:rPr>
                <w:sz w:val="20"/>
              </w:rPr>
            </w:r>
          </w:p>
        </w:tc>
        <w:tc>
          <w:tcPr>
            <w:tcW w:w="718" w:type="dxa"/>
          </w:tcPr>
          <w:p>
            <w:pPr>
              <w:pStyle w:val="0"/>
            </w:pPr>
            <w:r>
              <w:rPr>
                <w:sz w:val="20"/>
              </w:rPr>
            </w:r>
          </w:p>
        </w:tc>
        <w:tc>
          <w:tcPr>
            <w:tcW w:w="701" w:type="dxa"/>
          </w:tcPr>
          <w:p>
            <w:pPr>
              <w:pStyle w:val="0"/>
            </w:pPr>
            <w:r>
              <w:rPr>
                <w:sz w:val="20"/>
              </w:rPr>
            </w:r>
          </w:p>
        </w:tc>
        <w:tc>
          <w:tcPr>
            <w:tcW w:w="680" w:type="dxa"/>
          </w:tcPr>
          <w:p>
            <w:pPr>
              <w:pStyle w:val="0"/>
            </w:pPr>
            <w:r>
              <w:rPr>
                <w:sz w:val="20"/>
              </w:rPr>
            </w:r>
          </w:p>
        </w:tc>
        <w:tc>
          <w:tcPr>
            <w:tcW w:w="706" w:type="dxa"/>
          </w:tcPr>
          <w:p>
            <w:pPr>
              <w:pStyle w:val="0"/>
            </w:pPr>
            <w:r>
              <w:rPr>
                <w:sz w:val="20"/>
              </w:rPr>
            </w:r>
          </w:p>
        </w:tc>
        <w:tc>
          <w:tcPr>
            <w:tcW w:w="562" w:type="dxa"/>
          </w:tcPr>
          <w:p>
            <w:pPr>
              <w:pStyle w:val="0"/>
            </w:pPr>
            <w:r>
              <w:rPr>
                <w:sz w:val="20"/>
              </w:rPr>
            </w:r>
          </w:p>
        </w:tc>
        <w:tc>
          <w:tcPr>
            <w:tcW w:w="701" w:type="dxa"/>
          </w:tcPr>
          <w:p>
            <w:pPr>
              <w:pStyle w:val="0"/>
            </w:pPr>
            <w:r>
              <w:rPr>
                <w:sz w:val="20"/>
              </w:rPr>
            </w:r>
          </w:p>
        </w:tc>
        <w:tc>
          <w:tcPr>
            <w:tcW w:w="762" w:type="dxa"/>
          </w:tcPr>
          <w:p>
            <w:pPr>
              <w:pStyle w:val="0"/>
            </w:pPr>
            <w:r>
              <w:rPr>
                <w:sz w:val="20"/>
              </w:rPr>
            </w:r>
          </w:p>
        </w:tc>
        <w:tc>
          <w:tcPr>
            <w:tcW w:w="796" w:type="dxa"/>
          </w:tcPr>
          <w:p>
            <w:pPr>
              <w:pStyle w:val="0"/>
            </w:pPr>
            <w:r>
              <w:rPr>
                <w:sz w:val="20"/>
              </w:rPr>
            </w:r>
          </w:p>
        </w:tc>
        <w:tc>
          <w:tcPr>
            <w:tcW w:w="706" w:type="dxa"/>
          </w:tcPr>
          <w:p>
            <w:pPr>
              <w:pStyle w:val="0"/>
            </w:pPr>
            <w:r>
              <w:rPr>
                <w:sz w:val="20"/>
              </w:rPr>
            </w:r>
          </w:p>
        </w:tc>
        <w:tc>
          <w:tcPr>
            <w:tcW w:w="701" w:type="dxa"/>
          </w:tcPr>
          <w:p>
            <w:pPr>
              <w:pStyle w:val="0"/>
            </w:pPr>
            <w:r>
              <w:rPr>
                <w:sz w:val="20"/>
              </w:rPr>
            </w:r>
          </w:p>
        </w:tc>
        <w:tc>
          <w:tcPr>
            <w:tcW w:w="557" w:type="dxa"/>
          </w:tcPr>
          <w:p>
            <w:pPr>
              <w:pStyle w:val="0"/>
            </w:pPr>
            <w:r>
              <w:rPr>
                <w:sz w:val="20"/>
              </w:rPr>
            </w:r>
          </w:p>
        </w:tc>
        <w:tc>
          <w:tcPr>
            <w:tcW w:w="570" w:type="dxa"/>
            <w:tcBorders>
              <w:right w:val="nil"/>
            </w:tcBorders>
          </w:tcPr>
          <w:p>
            <w:pPr>
              <w:pStyle w:val="0"/>
            </w:pPr>
            <w:r>
              <w:rPr>
                <w:sz w:val="20"/>
              </w:rPr>
            </w:r>
          </w:p>
        </w:tc>
      </w:tr>
    </w:tbl>
    <w:p>
      <w:pPr>
        <w:sectPr>
          <w:headerReference w:type="default" r:id="rId56"/>
          <w:headerReference w:type="first" r:id="rId56"/>
          <w:footerReference w:type="default" r:id="rId57"/>
          <w:footerReference w:type="first" r:id="rId57"/>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w:t>
      </w:r>
    </w:p>
    <w:p>
      <w:pPr>
        <w:pStyle w:val="1"/>
        <w:jc w:val="both"/>
      </w:pPr>
      <w:r>
        <w:rPr>
          <w:sz w:val="20"/>
        </w:rPr>
        <w:t xml:space="preserve">федерального государственного</w:t>
      </w:r>
    </w:p>
    <w:p>
      <w:pPr>
        <w:pStyle w:val="1"/>
        <w:jc w:val="both"/>
      </w:pPr>
      <w:r>
        <w:rPr>
          <w:sz w:val="20"/>
        </w:rPr>
        <w:t xml:space="preserve">учреждения (обособленного</w:t>
      </w:r>
    </w:p>
    <w:p>
      <w:pPr>
        <w:pStyle w:val="1"/>
        <w:jc w:val="both"/>
      </w:pPr>
      <w:r>
        <w:rPr>
          <w:sz w:val="20"/>
        </w:rPr>
        <w:t xml:space="preserve">подразделения)               _____________ ___________ 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w:t>
      </w:r>
    </w:p>
    <w:p>
      <w:pPr>
        <w:pStyle w:val="1"/>
        <w:jc w:val="both"/>
      </w:pPr>
      <w:r>
        <w:rPr>
          <w:sz w:val="20"/>
        </w:rPr>
        <w:t xml:space="preserve">органа, осуществляющего</w:t>
      </w:r>
    </w:p>
    <w:p>
      <w:pPr>
        <w:pStyle w:val="1"/>
        <w:jc w:val="both"/>
      </w:pPr>
      <w:r>
        <w:rPr>
          <w:sz w:val="20"/>
        </w:rPr>
        <w:t xml:space="preserve">функции и полномочия</w:t>
      </w:r>
    </w:p>
    <w:p>
      <w:pPr>
        <w:pStyle w:val="1"/>
        <w:jc w:val="both"/>
      </w:pPr>
      <w:r>
        <w:rPr>
          <w:sz w:val="20"/>
        </w:rPr>
        <w:t xml:space="preserve">учредителя, главного</w:t>
      </w:r>
    </w:p>
    <w:p>
      <w:pPr>
        <w:pStyle w:val="1"/>
        <w:jc w:val="both"/>
      </w:pPr>
      <w:r>
        <w:rPr>
          <w:sz w:val="20"/>
        </w:rPr>
        <w:t xml:space="preserve">распорядителя средств</w:t>
      </w:r>
    </w:p>
    <w:p>
      <w:pPr>
        <w:pStyle w:val="1"/>
        <w:jc w:val="both"/>
      </w:pPr>
      <w:r>
        <w:rPr>
          <w:sz w:val="20"/>
        </w:rPr>
        <w:t xml:space="preserve">федерального бюджета,</w:t>
      </w:r>
    </w:p>
    <w:p>
      <w:pPr>
        <w:pStyle w:val="1"/>
        <w:jc w:val="both"/>
      </w:pPr>
      <w:r>
        <w:rPr>
          <w:sz w:val="20"/>
        </w:rPr>
        <w:t xml:space="preserve">в ведении которого</w:t>
      </w:r>
    </w:p>
    <w:p>
      <w:pPr>
        <w:pStyle w:val="1"/>
        <w:jc w:val="both"/>
      </w:pPr>
      <w:r>
        <w:rPr>
          <w:sz w:val="20"/>
        </w:rPr>
        <w:t xml:space="preserve">находятся федеральные</w:t>
      </w:r>
    </w:p>
    <w:p>
      <w:pPr>
        <w:pStyle w:val="1"/>
        <w:jc w:val="both"/>
      </w:pPr>
      <w:r>
        <w:rPr>
          <w:sz w:val="20"/>
        </w:rPr>
        <w:t xml:space="preserve">казенные учреждения     _____________ ___________ _________________________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0"/>
        <w:jc w:val="both"/>
      </w:pPr>
      <w:r>
        <w:rPr>
          <w:sz w:val="20"/>
        </w:rPr>
      </w:r>
    </w:p>
    <w:p>
      <w:pPr>
        <w:pStyle w:val="0"/>
        <w:ind w:firstLine="540"/>
        <w:jc w:val="both"/>
      </w:pPr>
      <w:r>
        <w:rPr>
          <w:sz w:val="20"/>
        </w:rPr>
        <w:t xml:space="preserve">--------------------------------</w:t>
      </w:r>
    </w:p>
    <w:bookmarkStart w:id="1818" w:name="P1818"/>
    <w:bookmarkEnd w:id="1818"/>
    <w:p>
      <w:pPr>
        <w:pStyle w:val="0"/>
        <w:spacing w:before="200" w:lineRule="auto"/>
        <w:ind w:firstLine="540"/>
        <w:jc w:val="both"/>
      </w:pPr>
      <w:r>
        <w:rPr>
          <w:sz w:val="20"/>
        </w:rPr>
        <w:t xml:space="preserve">&lt;1&gt; Указывается номер государственного задания, по которому формируется отчет.</w:t>
      </w:r>
    </w:p>
    <w:bookmarkStart w:id="1819" w:name="P1819"/>
    <w:bookmarkEnd w:id="1819"/>
    <w:p>
      <w:pPr>
        <w:pStyle w:val="0"/>
        <w:spacing w:before="200" w:lineRule="auto"/>
        <w:ind w:firstLine="540"/>
        <w:jc w:val="both"/>
      </w:pPr>
      <w:r>
        <w:rPr>
          <w:sz w:val="20"/>
        </w:rPr>
        <w:t xml:space="preserve">&lt;2&gt; Указывается дата, на которую составляется отчет.</w:t>
      </w:r>
    </w:p>
    <w:bookmarkStart w:id="1820" w:name="P1820"/>
    <w:bookmarkEnd w:id="1820"/>
    <w:p>
      <w:pPr>
        <w:pStyle w:val="0"/>
        <w:spacing w:before="200" w:lineRule="auto"/>
        <w:ind w:firstLine="540"/>
        <w:jc w:val="both"/>
      </w:pPr>
      <w:r>
        <w:rPr>
          <w:sz w:val="20"/>
        </w:rPr>
        <w:t xml:space="preserve">&lt;3&gt;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bookmarkStart w:id="1821" w:name="P1821"/>
    <w:bookmarkEnd w:id="1821"/>
    <w:p>
      <w:pPr>
        <w:pStyle w:val="0"/>
        <w:spacing w:before="200" w:lineRule="auto"/>
        <w:ind w:firstLine="540"/>
        <w:jc w:val="both"/>
      </w:pPr>
      <w:r>
        <w:rPr>
          <w:sz w:val="20"/>
        </w:rPr>
        <w:t xml:space="preserve">&lt;4&gt; Формируется в соответствии с государственным заданием.</w:t>
      </w:r>
    </w:p>
    <w:bookmarkStart w:id="1822" w:name="P1822"/>
    <w:bookmarkEnd w:id="1822"/>
    <w:p>
      <w:pPr>
        <w:pStyle w:val="0"/>
        <w:spacing w:before="200" w:lineRule="auto"/>
        <w:ind w:firstLine="540"/>
        <w:jc w:val="both"/>
      </w:pPr>
      <w:r>
        <w:rPr>
          <w:sz w:val="20"/>
        </w:rPr>
        <w:t xml:space="preserve">&lt;5&gt;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государственного задания на отчетную дату, в том числе с учетом неравномерного оказания государственных услуг (выполнения работ) в течение календарного года.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(в том числе с учетом неравномерного оказания государственных услуг (выполнения работ) в течение календарного года).</w:t>
      </w:r>
    </w:p>
    <w:bookmarkStart w:id="1823" w:name="P1823"/>
    <w:bookmarkEnd w:id="1823"/>
    <w:p>
      <w:pPr>
        <w:pStyle w:val="0"/>
        <w:spacing w:before="200" w:lineRule="auto"/>
        <w:ind w:firstLine="540"/>
        <w:jc w:val="both"/>
      </w:pPr>
      <w:r>
        <w:rPr>
          <w:sz w:val="20"/>
        </w:rPr>
        <w:t xml:space="preserve">&lt;6&gt;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w:t>
      </w:r>
    </w:p>
    <w:bookmarkStart w:id="1824" w:name="P1824"/>
    <w:bookmarkEnd w:id="1824"/>
    <w:p>
      <w:pPr>
        <w:pStyle w:val="0"/>
        <w:spacing w:before="200" w:lineRule="auto"/>
        <w:ind w:firstLine="540"/>
        <w:jc w:val="both"/>
      </w:pPr>
      <w:r>
        <w:rPr>
          <w:sz w:val="20"/>
        </w:rPr>
        <w:t xml:space="preserve">&lt;6-1&gt;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w:t>
      </w:r>
    </w:p>
    <w:bookmarkStart w:id="1825" w:name="P1825"/>
    <w:bookmarkEnd w:id="1825"/>
    <w:p>
      <w:pPr>
        <w:pStyle w:val="0"/>
        <w:spacing w:before="200" w:lineRule="auto"/>
        <w:ind w:firstLine="540"/>
        <w:jc w:val="both"/>
      </w:pPr>
      <w:r>
        <w:rPr>
          <w:sz w:val="20"/>
        </w:rPr>
        <w:t xml:space="preserve">&lt;6-2&gt; В предварительном отчете о выполнении государственного задания указывается результат выполнения научной темы научного исследования (разработки), запланированный к достижению по завершении текущего финансового года.</w:t>
      </w:r>
    </w:p>
    <w:bookmarkStart w:id="1826" w:name="P1826"/>
    <w:bookmarkEnd w:id="1826"/>
    <w:p>
      <w:pPr>
        <w:pStyle w:val="0"/>
        <w:spacing w:before="200" w:lineRule="auto"/>
        <w:ind w:firstLine="540"/>
        <w:jc w:val="both"/>
      </w:pPr>
      <w:r>
        <w:rPr>
          <w:sz w:val="20"/>
        </w:rPr>
        <w:t xml:space="preserve">&lt;7&gt; Рассчитывается путем умножения значения показателя объема и (или) качества государственной услуги (работы), установленного в государственном задании </w:t>
      </w:r>
      <w:hyperlink w:history="0" w:anchor="P1367" w:tooltip="10">
        <w:r>
          <w:rPr>
            <w:sz w:val="20"/>
            <w:color w:val="0000ff"/>
          </w:rPr>
          <w:t xml:space="preserve">(графа 10)</w:t>
        </w:r>
      </w:hyperlink>
      <w:r>
        <w:rPr>
          <w:sz w:val="20"/>
        </w:rPr>
        <w:t xml:space="preserve">,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заполняется в соответствии с государственным заданием. Значение указывается в единицах измерения показателя, установленных в государственном задании </w:t>
      </w:r>
      <w:hyperlink w:history="0" w:anchor="P1365" w:tooltip="8">
        <w:r>
          <w:rPr>
            <w:sz w:val="20"/>
            <w:color w:val="0000ff"/>
          </w:rPr>
          <w:t xml:space="preserve">(графа 8)</w:t>
        </w:r>
      </w:hyperlink>
      <w:r>
        <w:rPr>
          <w:sz w:val="20"/>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history="0" w:anchor="P1595" w:tooltip="3.2.  Сведения о фактическом достижении показателей, характеризующих  объем">
        <w:r>
          <w:rPr>
            <w:sz w:val="20"/>
            <w:color w:val="0000ff"/>
          </w:rPr>
          <w:t xml:space="preserve">граф 13</w:t>
        </w:r>
      </w:hyperlink>
      <w:r>
        <w:rPr>
          <w:sz w:val="20"/>
        </w:rPr>
        <w:t xml:space="preserve"> и </w:t>
      </w:r>
      <w:hyperlink w:history="0" w:anchor="P1595" w:tooltip="3.2.  Сведения о фактическом достижении показателей, характеризующих  объем">
        <w:r>
          <w:rPr>
            <w:sz w:val="20"/>
            <w:color w:val="0000ff"/>
          </w:rPr>
          <w:t xml:space="preserve">14 пункта 3.2 части II</w:t>
        </w:r>
      </w:hyperlink>
      <w:r>
        <w:rPr>
          <w:sz w:val="20"/>
        </w:rPr>
        <w:t xml:space="preserve"> настоящего отчета не рассчитываются.</w:t>
      </w:r>
    </w:p>
    <w:bookmarkStart w:id="1827" w:name="P1827"/>
    <w:bookmarkEnd w:id="1827"/>
    <w:p>
      <w:pPr>
        <w:pStyle w:val="0"/>
        <w:spacing w:before="200" w:lineRule="auto"/>
        <w:ind w:firstLine="540"/>
        <w:jc w:val="both"/>
      </w:pPr>
      <w:r>
        <w:rPr>
          <w:sz w:val="20"/>
        </w:rPr>
        <w:t xml:space="preserve">&lt;8&gt; Рассчитывается при формировании отчета за год как разница показателей </w:t>
      </w:r>
      <w:hyperlink w:history="0" w:anchor="P1367" w:tooltip="10">
        <w:r>
          <w:rPr>
            <w:sz w:val="20"/>
            <w:color w:val="0000ff"/>
          </w:rPr>
          <w:t xml:space="preserve">граф 10</w:t>
        </w:r>
      </w:hyperlink>
      <w:r>
        <w:rPr>
          <w:sz w:val="20"/>
        </w:rPr>
        <w:t xml:space="preserve">, </w:t>
      </w:r>
      <w:hyperlink w:history="0" w:anchor="P1369" w:tooltip="12">
        <w:r>
          <w:rPr>
            <w:sz w:val="20"/>
            <w:color w:val="0000ff"/>
          </w:rPr>
          <w:t xml:space="preserve">12</w:t>
        </w:r>
      </w:hyperlink>
      <w:r>
        <w:rPr>
          <w:sz w:val="20"/>
        </w:rPr>
        <w:t xml:space="preserve"> и </w:t>
      </w:r>
      <w:hyperlink w:history="0" w:anchor="P1370" w:tooltip="13">
        <w:r>
          <w:rPr>
            <w:sz w:val="20"/>
            <w:color w:val="0000ff"/>
          </w:rPr>
          <w:t xml:space="preserve">13</w:t>
        </w:r>
      </w:hyperlink>
      <w:r>
        <w:rPr>
          <w:sz w:val="20"/>
        </w:rPr>
        <w:t xml:space="preserve">.</w:t>
      </w:r>
    </w:p>
    <w:bookmarkStart w:id="1828" w:name="P1828"/>
    <w:bookmarkEnd w:id="1828"/>
    <w:p>
      <w:pPr>
        <w:pStyle w:val="0"/>
        <w:spacing w:before="200" w:lineRule="auto"/>
        <w:ind w:firstLine="540"/>
        <w:jc w:val="both"/>
      </w:pPr>
      <w:r>
        <w:rPr>
          <w:sz w:val="20"/>
        </w:rPr>
        <w:t xml:space="preserve">&lt;9&gt; Рассчитывается при формировании отчета за год как разница показателей </w:t>
      </w:r>
      <w:hyperlink w:history="0" w:anchor="P1722" w:tooltip="10">
        <w:r>
          <w:rPr>
            <w:sz w:val="20"/>
            <w:color w:val="0000ff"/>
          </w:rPr>
          <w:t xml:space="preserve">граф 10</w:t>
        </w:r>
      </w:hyperlink>
      <w:r>
        <w:rPr>
          <w:sz w:val="20"/>
        </w:rPr>
        <w:t xml:space="preserve">, </w:t>
      </w:r>
      <w:hyperlink w:history="0" w:anchor="P1724" w:tooltip="12">
        <w:r>
          <w:rPr>
            <w:sz w:val="20"/>
            <w:color w:val="0000ff"/>
          </w:rPr>
          <w:t xml:space="preserve">12</w:t>
        </w:r>
      </w:hyperlink>
      <w:r>
        <w:rPr>
          <w:sz w:val="20"/>
        </w:rPr>
        <w:t xml:space="preserve"> и </w:t>
      </w:r>
      <w:hyperlink w:history="0" w:anchor="P1729" w:tooltip="17">
        <w:r>
          <w:rPr>
            <w:sz w:val="20"/>
            <w:color w:val="0000ff"/>
          </w:rPr>
          <w:t xml:space="preserve">17</w:t>
        </w:r>
      </w:hyperlink>
      <w:r>
        <w:rPr>
          <w:sz w:val="20"/>
        </w:rPr>
        <w:t xml:space="preserve">.</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26.06.2015 N 640</w:t>
            <w:br/>
            <w:t>(ред. от 10.12.2025)</w:t>
            <w:br/>
            <w:t>"О порядке формирования государственного задания...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26.06.2015 N 640</w:t>
            <w:br/>
            <w:t>(ред. от 10.12.2025)</w:t>
            <w:br/>
            <w:t>"О порядке формирования государственного задания...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710&amp;dst=3595" TargetMode = "External"/><Relationship Id="rId9" Type="http://schemas.openxmlformats.org/officeDocument/2006/relationships/hyperlink" Target="https://login.consultant.ru/link/?req=doc&amp;base=LAW&amp;n=495710&amp;dst=1381" TargetMode = "External"/><Relationship Id="rId10" Type="http://schemas.openxmlformats.org/officeDocument/2006/relationships/hyperlink" Target="https://login.consultant.ru/link/?req=doc&amp;base=LAW&amp;n=523391&amp;dst=232" TargetMode = "External"/><Relationship Id="rId11" Type="http://schemas.openxmlformats.org/officeDocument/2006/relationships/hyperlink" Target="https://login.consultant.ru/link/?req=doc&amp;base=LAW&amp;n=508376&amp;dst=28" TargetMode = "External"/><Relationship Id="rId12" Type="http://schemas.openxmlformats.org/officeDocument/2006/relationships/hyperlink" Target="https://login.consultant.ru/link/?req=doc&amp;base=LAW&amp;n=169992" TargetMode = "External"/><Relationship Id="rId13" Type="http://schemas.openxmlformats.org/officeDocument/2006/relationships/hyperlink" Target="https://login.consultant.ru/link/?req=doc&amp;base=LAW&amp;n=118520" TargetMode = "External"/><Relationship Id="rId14" Type="http://schemas.openxmlformats.org/officeDocument/2006/relationships/hyperlink" Target="https://login.consultant.ru/link/?req=doc&amp;base=LAW&amp;n=137239" TargetMode = "External"/><Relationship Id="rId15" Type="http://schemas.openxmlformats.org/officeDocument/2006/relationships/hyperlink" Target="https://login.consultant.ru/link/?req=doc&amp;base=LAW&amp;n=147123&amp;dst=100020" TargetMode = "External"/><Relationship Id="rId16" Type="http://schemas.openxmlformats.org/officeDocument/2006/relationships/hyperlink" Target="https://login.consultant.ru/link/?req=doc&amp;base=LAW&amp;n=164033&amp;dst=100013" TargetMode = "External"/><Relationship Id="rId17" Type="http://schemas.openxmlformats.org/officeDocument/2006/relationships/hyperlink" Target="https://login.consultant.ru/link/?req=doc&amp;base=LAW&amp;n=169832&amp;dst=100016" TargetMode = "External"/><Relationship Id="rId18" Type="http://schemas.openxmlformats.org/officeDocument/2006/relationships/hyperlink" Target="https://login.consultant.ru/link/?req=doc&amp;base=LAW&amp;n=169950&amp;dst=100175" TargetMode = "External"/><Relationship Id="rId19" Type="http://schemas.openxmlformats.org/officeDocument/2006/relationships/hyperlink" Target="https://login.consultant.ru/link/?req=doc&amp;base=LAW&amp;n=521251&amp;dst=100011" TargetMode = "External"/><Relationship Id="rId20" Type="http://schemas.openxmlformats.org/officeDocument/2006/relationships/hyperlink" Target="https://login.consultant.ru/link/?req=doc&amp;base=LAW&amp;n=152678&amp;dst=100962" TargetMode = "External"/><Relationship Id="rId21" Type="http://schemas.openxmlformats.org/officeDocument/2006/relationships/hyperlink" Target="https://login.consultant.ru/link/?req=doc&amp;base=LAW&amp;n=495710&amp;dst=3600" TargetMode = "External"/><Relationship Id="rId22" Type="http://schemas.openxmlformats.org/officeDocument/2006/relationships/hyperlink" Target="https://login.consultant.ru/link/?req=doc&amp;base=LAW&amp;n=447333&amp;dst=100011" TargetMode = "External"/><Relationship Id="rId23" Type="http://schemas.openxmlformats.org/officeDocument/2006/relationships/hyperlink" Target="https://login.consultant.ru/link/?req=doc&amp;base=LAW&amp;n=473360&amp;dst=100012" TargetMode = "External"/><Relationship Id="rId24" Type="http://schemas.openxmlformats.org/officeDocument/2006/relationships/hyperlink" Target="https://login.consultant.ru/link/?req=doc&amp;base=LAW&amp;n=152678&amp;dst=101598" TargetMode = "External"/><Relationship Id="rId25" Type="http://schemas.openxmlformats.org/officeDocument/2006/relationships/hyperlink" Target="https://login.consultant.ru/link/?req=doc&amp;base=LAW&amp;n=518117&amp;dst=100016" TargetMode = "External"/><Relationship Id="rId26" Type="http://schemas.openxmlformats.org/officeDocument/2006/relationships/hyperlink" Target="https://login.consultant.ru/link/?req=doc&amp;base=LAW&amp;n=381295&amp;dst=100011" TargetMode = "External"/><Relationship Id="rId27" Type="http://schemas.openxmlformats.org/officeDocument/2006/relationships/hyperlink" Target="www.bus.gov.ru" TargetMode = "External"/><Relationship Id="rId28" Type="http://schemas.openxmlformats.org/officeDocument/2006/relationships/image" Target="media/image2.wmf"/><Relationship Id="rId29" Type="http://schemas.openxmlformats.org/officeDocument/2006/relationships/hyperlink" Target="https://login.consultant.ru/link/?req=doc&amp;base=LAW&amp;n=521179&amp;dst=100018" TargetMode = "External"/><Relationship Id="rId30" Type="http://schemas.openxmlformats.org/officeDocument/2006/relationships/hyperlink" Target="https://login.consultant.ru/link/?req=doc&amp;base=LAW&amp;n=152678&amp;dst=100962" TargetMode = "External"/><Relationship Id="rId31" Type="http://schemas.openxmlformats.org/officeDocument/2006/relationships/hyperlink" Target="https://login.consultant.ru/link/?req=doc&amp;base=LAW&amp;n=447333&amp;dst=100018" TargetMode = "External"/><Relationship Id="rId32" Type="http://schemas.openxmlformats.org/officeDocument/2006/relationships/hyperlink" Target="https://login.consultant.ru/link/?req=doc&amp;base=LAW&amp;n=447333&amp;dst=100019" TargetMode = "External"/><Relationship Id="rId33" Type="http://schemas.openxmlformats.org/officeDocument/2006/relationships/hyperlink" Target="https://login.consultant.ru/link/?req=doc&amp;base=LAW&amp;n=447333&amp;dst=100020" TargetMode = "External"/><Relationship Id="rId34" Type="http://schemas.openxmlformats.org/officeDocument/2006/relationships/hyperlink" Target="https://login.consultant.ru/link/?req=doc&amp;base=LAW&amp;n=446120" TargetMode = "External"/><Relationship Id="rId35" Type="http://schemas.openxmlformats.org/officeDocument/2006/relationships/hyperlink" Target="https://login.consultant.ru/link/?req=doc&amp;base=LAW&amp;n=434994&amp;dst=100010" TargetMode = "External"/><Relationship Id="rId36" Type="http://schemas.openxmlformats.org/officeDocument/2006/relationships/hyperlink" Target="https://login.consultant.ru/link/?req=doc&amp;base=LAW&amp;n=152678&amp;dst=101961" TargetMode = "External"/><Relationship Id="rId37" Type="http://schemas.openxmlformats.org/officeDocument/2006/relationships/hyperlink" Target="https://login.consultant.ru/link/?req=doc&amp;base=LAW&amp;n=152678&amp;dst=101071" TargetMode = "External"/><Relationship Id="rId38" Type="http://schemas.openxmlformats.org/officeDocument/2006/relationships/hyperlink" Target="https://login.consultant.ru/link/?req=doc&amp;base=LAW&amp;n=425103&amp;dst=100011" TargetMode = "External"/><Relationship Id="rId39" Type="http://schemas.openxmlformats.org/officeDocument/2006/relationships/hyperlink" Target="https://login.consultant.ru/link/?req=doc&amp;base=LAW&amp;n=447333&amp;dst=100027" TargetMode = "External"/><Relationship Id="rId40" Type="http://schemas.openxmlformats.org/officeDocument/2006/relationships/hyperlink" Target="https://login.consultant.ru/link/?req=doc&amp;base=LAW&amp;n=447333&amp;dst=100027" TargetMode = "External"/><Relationship Id="rId41" Type="http://schemas.openxmlformats.org/officeDocument/2006/relationships/hyperlink" Target="https://login.consultant.ru/link/?req=doc&amp;base=LAW&amp;n=447333&amp;dst=100028" TargetMode = "External"/><Relationship Id="rId42" Type="http://schemas.openxmlformats.org/officeDocument/2006/relationships/hyperlink" Target="https://login.consultant.ru/link/?req=doc&amp;base=LAW&amp;n=447333&amp;dst=100029" TargetMode = "External"/><Relationship Id="rId43" Type="http://schemas.openxmlformats.org/officeDocument/2006/relationships/hyperlink" Target="https://login.consultant.ru/link/?req=doc&amp;base=LAW&amp;n=521179&amp;dst=100036" TargetMode = "External"/><Relationship Id="rId44" Type="http://schemas.openxmlformats.org/officeDocument/2006/relationships/hyperlink" Target="https://login.consultant.ru/link/?req=doc&amp;base=LAW&amp;n=521251&amp;dst=100066" TargetMode = "External"/><Relationship Id="rId45" Type="http://schemas.openxmlformats.org/officeDocument/2006/relationships/hyperlink" Target="https://login.consultant.ru/link/?req=doc&amp;base=LAW&amp;n=521246&amp;dst=100042" TargetMode = "External"/><Relationship Id="rId46" Type="http://schemas.openxmlformats.org/officeDocument/2006/relationships/image" Target="media/image3.wmf"/><Relationship Id="rId47" Type="http://schemas.openxmlformats.org/officeDocument/2006/relationships/hyperlink" Target="https://login.consultant.ru/link/?req=doc&amp;base=LAW&amp;n=396428&amp;dst=100005" TargetMode = "External"/><Relationship Id="rId48" Type="http://schemas.openxmlformats.org/officeDocument/2006/relationships/hyperlink" Target="https://login.consultant.ru/link/?req=doc&amp;base=LAW&amp;n=129344" TargetMode = "External"/><Relationship Id="rId49" Type="http://schemas.openxmlformats.org/officeDocument/2006/relationships/hyperlink" Target="https://login.consultant.ru/link/?req=doc&amp;base=LAW&amp;n=130516" TargetMode = "External"/><Relationship Id="rId50" Type="http://schemas.openxmlformats.org/officeDocument/2006/relationships/hyperlink" Target="https://login.consultant.ru/link/?req=doc&amp;base=LAW&amp;n=282758" TargetMode = "External"/><Relationship Id="rId51" Type="http://schemas.openxmlformats.org/officeDocument/2006/relationships/hyperlink" Target="https://login.consultant.ru/link/?req=doc&amp;base=LAW&amp;n=152678&amp;dst=101293" TargetMode = "External"/><Relationship Id="rId52" Type="http://schemas.openxmlformats.org/officeDocument/2006/relationships/hyperlink" Target="https://login.consultant.ru/link/?req=doc&amp;base=LAW&amp;n=521763" TargetMode = "External"/><Relationship Id="rId53" Type="http://schemas.openxmlformats.org/officeDocument/2006/relationships/hyperlink" Target="https://login.consultant.ru/link/?req=doc&amp;base=LAW&amp;n=518477" TargetMode = "External"/><Relationship Id="rId54" Type="http://schemas.openxmlformats.org/officeDocument/2006/relationships/hyperlink" Target="https://login.consultant.ru/link/?req=doc&amp;base=LAW&amp;n=518477" TargetMode = "External"/><Relationship Id="rId55" Type="http://schemas.openxmlformats.org/officeDocument/2006/relationships/hyperlink" Target="https://login.consultant.ru/link/?req=doc&amp;base=LAW&amp;n=518477" TargetMode = "External"/><Relationship Id="rId56" Type="http://schemas.openxmlformats.org/officeDocument/2006/relationships/header" Target="header2.xml"/><Relationship Id="rId57" Type="http://schemas.openxmlformats.org/officeDocument/2006/relationships/footer" Target="footer2.xml"/><Relationship Id="rId58" Type="http://schemas.openxmlformats.org/officeDocument/2006/relationships/hyperlink" Target="https://login.consultant.ru/link/?req=doc&amp;base=LAW&amp;n=495935" TargetMode = "External"/><Relationship Id="rId59" Type="http://schemas.openxmlformats.org/officeDocument/2006/relationships/hyperlink" Target="https://login.consultant.ru/link/?req=doc&amp;base=LAW&amp;n=495935" TargetMode = "External"/><Relationship Id="rId60" Type="http://schemas.openxmlformats.org/officeDocument/2006/relationships/hyperlink" Target="https://login.consultant.ru/link/?req=doc&amp;base=LAW&amp;n=495935" TargetMode = "External"/><Relationship Id="rId61" Type="http://schemas.openxmlformats.org/officeDocument/2006/relationships/hyperlink" Target="https://login.consultant.ru/link/?req=doc&amp;base=LAW&amp;n=495935" TargetMode = "External"/><Relationship Id="rId62" Type="http://schemas.openxmlformats.org/officeDocument/2006/relationships/hyperlink" Target="https://login.consultant.ru/link/?req=doc&amp;base=LAW&amp;n=521763" TargetMode = "External"/><Relationship Id="rId63" Type="http://schemas.openxmlformats.org/officeDocument/2006/relationships/hyperlink" Target="https://login.consultant.ru/link/?req=doc&amp;base=LAW&amp;n=495935" TargetMode = "External"/><Relationship Id="rId64" Type="http://schemas.openxmlformats.org/officeDocument/2006/relationships/hyperlink" Target="https://login.consultant.ru/link/?req=doc&amp;base=LAW&amp;n=495935" TargetMode = "External"/><Relationship Id="rId65" Type="http://schemas.openxmlformats.org/officeDocument/2006/relationships/hyperlink" Target="https://login.consultant.ru/link/?req=doc&amp;base=LAW&amp;n=521763" TargetMode = "External"/><Relationship Id="rId66" Type="http://schemas.openxmlformats.org/officeDocument/2006/relationships/hyperlink" Target="https://login.consultant.ru/link/?req=doc&amp;base=LAW&amp;n=518477" TargetMode = "External"/><Relationship Id="rId67" Type="http://schemas.openxmlformats.org/officeDocument/2006/relationships/hyperlink" Target="https://login.consultant.ru/link/?req=doc&amp;base=LAW&amp;n=518477" TargetMode = "External"/><Relationship Id="rId68" Type="http://schemas.openxmlformats.org/officeDocument/2006/relationships/hyperlink" Target="https://login.consultant.ru/link/?req=doc&amp;base=LAW&amp;n=518477" TargetMode = "External"/><Relationship Id="rId69" Type="http://schemas.openxmlformats.org/officeDocument/2006/relationships/hyperlink" Target="https://login.consultant.ru/link/?req=doc&amp;base=LAW&amp;n=495935" TargetMode = "External"/><Relationship Id="rId70" Type="http://schemas.openxmlformats.org/officeDocument/2006/relationships/hyperlink" Target="https://login.consultant.ru/link/?req=doc&amp;base=LAW&amp;n=495935" TargetMode = "External"/><Relationship Id="rId71" Type="http://schemas.openxmlformats.org/officeDocument/2006/relationships/hyperlink" Target="https://login.consultant.ru/link/?req=doc&amp;base=LAW&amp;n=495935" TargetMode = "External"/><Relationship Id="rId72" Type="http://schemas.openxmlformats.org/officeDocument/2006/relationships/hyperlink" Target="https://login.consultant.ru/link/?req=doc&amp;base=LAW&amp;n=495935" TargetMode = "External"/><Relationship Id="rId73" Type="http://schemas.openxmlformats.org/officeDocument/2006/relationships/hyperlink" Target="https://login.consultant.ru/link/?req=doc&amp;base=LAW&amp;n=49593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26.06.2015 N 640
(ред. от 10.12.2025)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(вместе с "Положением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dc:title>
  <dcterms:created xsi:type="dcterms:W3CDTF">2026-01-12T11:54:23Z</dcterms:created>
</cp:coreProperties>
</file>