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AC9" w:rsidRDefault="006B0A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B0AC9" w:rsidRDefault="006B0AC9">
      <w:pPr>
        <w:pStyle w:val="ConsPlusNormal"/>
        <w:jc w:val="both"/>
        <w:outlineLvl w:val="0"/>
      </w:pPr>
    </w:p>
    <w:p w:rsidR="006B0AC9" w:rsidRDefault="006B0AC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B0AC9" w:rsidRDefault="006B0AC9">
      <w:pPr>
        <w:pStyle w:val="ConsPlusTitle"/>
        <w:jc w:val="center"/>
      </w:pPr>
    </w:p>
    <w:p w:rsidR="006B0AC9" w:rsidRDefault="006B0AC9">
      <w:pPr>
        <w:pStyle w:val="ConsPlusTitle"/>
        <w:jc w:val="center"/>
      </w:pPr>
      <w:r>
        <w:t>РАСПОРЯЖЕНИЕ</w:t>
      </w:r>
    </w:p>
    <w:p w:rsidR="006B0AC9" w:rsidRDefault="006B0AC9">
      <w:pPr>
        <w:pStyle w:val="ConsPlusTitle"/>
        <w:jc w:val="center"/>
      </w:pPr>
      <w:r>
        <w:t>от 30 сентября 2018 г. N 2101-р</w:t>
      </w:r>
    </w:p>
    <w:p w:rsidR="006B0AC9" w:rsidRDefault="006B0A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0A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AC9" w:rsidRDefault="006B0A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AC9" w:rsidRDefault="006B0A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17.08.2019 </w:t>
            </w:r>
            <w:hyperlink r:id="rId5">
              <w:r>
                <w:rPr>
                  <w:color w:val="0000FF"/>
                </w:rPr>
                <w:t>N 1844-р</w:t>
              </w:r>
            </w:hyperlink>
            <w:r>
              <w:rPr>
                <w:color w:val="392C69"/>
              </w:rPr>
              <w:t>,</w:t>
            </w:r>
          </w:p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13.03.2020 </w:t>
            </w:r>
            <w:hyperlink r:id="rId6">
              <w:r>
                <w:rPr>
                  <w:color w:val="0000FF"/>
                </w:rPr>
                <w:t>N 610-р</w:t>
              </w:r>
            </w:hyperlink>
            <w:r>
              <w:rPr>
                <w:color w:val="392C69"/>
              </w:rPr>
              <w:t xml:space="preserve">, от 04.07.2020 </w:t>
            </w:r>
            <w:hyperlink r:id="rId7">
              <w:r>
                <w:rPr>
                  <w:color w:val="0000FF"/>
                </w:rPr>
                <w:t>N 1747-р</w:t>
              </w:r>
            </w:hyperlink>
            <w:r>
              <w:rPr>
                <w:color w:val="392C69"/>
              </w:rPr>
              <w:t xml:space="preserve">, от 20.02.2021 </w:t>
            </w:r>
            <w:hyperlink r:id="rId8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>,</w:t>
            </w:r>
          </w:p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28.12.2021 </w:t>
            </w:r>
            <w:hyperlink r:id="rId9">
              <w:r>
                <w:rPr>
                  <w:color w:val="0000FF"/>
                </w:rPr>
                <w:t>N 3896-р</w:t>
              </w:r>
            </w:hyperlink>
            <w:r>
              <w:rPr>
                <w:color w:val="392C69"/>
              </w:rPr>
              <w:t xml:space="preserve">, от 13.04.2022 </w:t>
            </w:r>
            <w:hyperlink r:id="rId10">
              <w:r>
                <w:rPr>
                  <w:color w:val="0000FF"/>
                </w:rPr>
                <w:t>N 855-р</w:t>
              </w:r>
            </w:hyperlink>
            <w:r>
              <w:rPr>
                <w:color w:val="392C69"/>
              </w:rPr>
              <w:t xml:space="preserve">, от 09.12.2022 </w:t>
            </w:r>
            <w:hyperlink r:id="rId11">
              <w:r>
                <w:rPr>
                  <w:color w:val="0000FF"/>
                </w:rPr>
                <w:t>N 3867-р</w:t>
              </w:r>
            </w:hyperlink>
            <w:r>
              <w:rPr>
                <w:color w:val="392C69"/>
              </w:rPr>
              <w:t>,</w:t>
            </w:r>
          </w:p>
          <w:p w:rsidR="006B0AC9" w:rsidRDefault="006B0AC9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04.05.2023 N 693,</w:t>
            </w:r>
          </w:p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18.05.2023 </w:t>
            </w:r>
            <w:hyperlink r:id="rId13">
              <w:r>
                <w:rPr>
                  <w:color w:val="0000FF"/>
                </w:rPr>
                <w:t>N 1288-р</w:t>
              </w:r>
            </w:hyperlink>
            <w:r>
              <w:rPr>
                <w:color w:val="392C69"/>
              </w:rPr>
              <w:t>,</w:t>
            </w:r>
          </w:p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24.06.2023 </w:t>
            </w:r>
            <w:hyperlink r:id="rId14">
              <w:r>
                <w:rPr>
                  <w:color w:val="0000FF"/>
                </w:rPr>
                <w:t>N 1653-р</w:t>
              </w:r>
            </w:hyperlink>
            <w:r>
              <w:rPr>
                <w:color w:val="392C69"/>
              </w:rPr>
              <w:t xml:space="preserve">, от 20.02.2024 </w:t>
            </w:r>
            <w:hyperlink r:id="rId15">
              <w:r>
                <w:rPr>
                  <w:color w:val="0000FF"/>
                </w:rPr>
                <w:t>N 383-р</w:t>
              </w:r>
            </w:hyperlink>
            <w:r>
              <w:rPr>
                <w:color w:val="392C69"/>
              </w:rPr>
              <w:t xml:space="preserve">, от 31.08.2024 </w:t>
            </w:r>
            <w:hyperlink r:id="rId16">
              <w:r>
                <w:rPr>
                  <w:color w:val="0000FF"/>
                </w:rPr>
                <w:t>N 2388-р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AC9" w:rsidRDefault="006B0AC9">
            <w:pPr>
              <w:pStyle w:val="ConsPlusNormal"/>
            </w:pP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 xml:space="preserve">1. Утвердить прилагаемый комплексный </w:t>
      </w:r>
      <w:hyperlink w:anchor="P39">
        <w:r>
          <w:rPr>
            <w:color w:val="0000FF"/>
          </w:rPr>
          <w:t>план</w:t>
        </w:r>
      </w:hyperlink>
      <w:r>
        <w:t xml:space="preserve"> модернизации и расширения магистральной инфраструктуры на период до 2024 года (далее - план).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 xml:space="preserve">2. Определить Правительственную комиссию по транспорту органом, ответственным за реализацию </w:t>
      </w:r>
      <w:hyperlink w:anchor="P39">
        <w:r>
          <w:rPr>
            <w:color w:val="0000FF"/>
          </w:rPr>
          <w:t>плана</w:t>
        </w:r>
      </w:hyperlink>
      <w:r>
        <w:t xml:space="preserve"> в части транспортной инфраструктуры, Правительственную комиссию по вопросам развития электроэнергетики - в части энергетической инфраструктуры.</w:t>
      </w:r>
    </w:p>
    <w:p w:rsidR="006B0AC9" w:rsidRDefault="006B0AC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распоряжения</w:t>
        </w:r>
      </w:hyperlink>
      <w:r>
        <w:t xml:space="preserve"> Правительства РФ от 13.04.2022 N 855-р)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 xml:space="preserve">Указанным правительственным комиссиям обеспечить утверждение перечней мероприятий проектов, предусмотренных </w:t>
      </w:r>
      <w:hyperlink w:anchor="P39">
        <w:r>
          <w:rPr>
            <w:color w:val="0000FF"/>
          </w:rPr>
          <w:t>планом</w:t>
        </w:r>
      </w:hyperlink>
      <w:r>
        <w:t xml:space="preserve">, координацию действий ответственных исполнителей и соисполнителей этих мероприятий, формирование системы рейтингования (ранжирования) таких проектов, имея в виду возможность включения в эти перечни (исключения) отдельных мероприятий без превышения предельных объемов финансирования, принятие решений о начале, приостановке или завершении мероприятий указанных проектов, определение системы финансирования отдельных проектов и достижение целевых значений контрольных показателей </w:t>
      </w:r>
      <w:hyperlink w:anchor="P39">
        <w:r>
          <w:rPr>
            <w:color w:val="0000FF"/>
          </w:rPr>
          <w:t>плана</w:t>
        </w:r>
      </w:hyperlink>
      <w:r>
        <w:t>, а также определение дополнительных мер, обеспечивающих их достижение.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3. Минэкономразвития России: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а) совместно с Минтрансом России, Минэнерго России, Минфином России и автономной некоммерческой организацией "Аналитический центр при Правительстве Российской Федерации" подготовить и представить в Правительство Российской Федерации: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 xml:space="preserve">до 1 ноября 2018 г. - предложения по организации управления </w:t>
      </w:r>
      <w:hyperlink w:anchor="P39">
        <w:r>
          <w:rPr>
            <w:color w:val="0000FF"/>
          </w:rPr>
          <w:t>планом</w:t>
        </w:r>
      </w:hyperlink>
      <w:r>
        <w:t>, а также мониторинга и контроля за его реализацией;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 xml:space="preserve">при необходимости в 2-недельный срок после утверждения стратегии пространственного развития Российской Федерации на период до 2025 года - предложения по корректировке </w:t>
      </w:r>
      <w:hyperlink w:anchor="P39">
        <w:r>
          <w:rPr>
            <w:color w:val="0000FF"/>
          </w:rPr>
          <w:t>плана</w:t>
        </w:r>
      </w:hyperlink>
      <w:r>
        <w:t>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б) совместно с автономной некоммерческой организацией "Аналитический центр при Правительстве Российской Федерации" до 1 декабря 2018 г. разработать и представить на утверждение в Правительственную комиссию по транспорту, Правительственную комиссию по вопросам развития электроэнергетики:</w:t>
      </w:r>
    </w:p>
    <w:p w:rsidR="006B0AC9" w:rsidRDefault="006B0AC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13.04.2022 N 855-р)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 xml:space="preserve">порядок внесения в </w:t>
      </w:r>
      <w:hyperlink w:anchor="P39">
        <w:r>
          <w:rPr>
            <w:color w:val="0000FF"/>
          </w:rPr>
          <w:t>план</w:t>
        </w:r>
      </w:hyperlink>
      <w:r>
        <w:t xml:space="preserve"> изменений, в том числе предусматривающих включение в </w:t>
      </w:r>
      <w:hyperlink w:anchor="P39">
        <w:r>
          <w:rPr>
            <w:color w:val="0000FF"/>
          </w:rPr>
          <w:t>план</w:t>
        </w:r>
      </w:hyperlink>
      <w:r>
        <w:t xml:space="preserve"> объектов магистральной инфраструктуры, строительство или модернизация которых предусмотрены в инвестиционных программах субъектов естественных монополий или которые планируются к включению в эти программы;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lastRenderedPageBreak/>
        <w:t>рекомендации по разработке субъектами Российской Федерации комплексных планов модернизации и расширения региональной инфраструктуры.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jc w:val="right"/>
      </w:pPr>
      <w:r>
        <w:t>Председатель Правительства</w:t>
      </w:r>
    </w:p>
    <w:p w:rsidR="006B0AC9" w:rsidRDefault="006B0AC9">
      <w:pPr>
        <w:pStyle w:val="ConsPlusNormal"/>
        <w:jc w:val="right"/>
      </w:pPr>
      <w:r>
        <w:t>Российской Федерации</w:t>
      </w:r>
    </w:p>
    <w:p w:rsidR="006B0AC9" w:rsidRDefault="006B0AC9">
      <w:pPr>
        <w:pStyle w:val="ConsPlusNormal"/>
        <w:jc w:val="right"/>
      </w:pPr>
      <w:r>
        <w:t>Д.МЕДВЕДЕВ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jc w:val="right"/>
        <w:outlineLvl w:val="0"/>
      </w:pPr>
      <w:r>
        <w:t>Утвержден</w:t>
      </w:r>
    </w:p>
    <w:p w:rsidR="006B0AC9" w:rsidRDefault="006B0AC9">
      <w:pPr>
        <w:pStyle w:val="ConsPlusNormal"/>
        <w:jc w:val="right"/>
      </w:pPr>
      <w:r>
        <w:t>распоряжением Правительства</w:t>
      </w:r>
    </w:p>
    <w:p w:rsidR="006B0AC9" w:rsidRDefault="006B0AC9">
      <w:pPr>
        <w:pStyle w:val="ConsPlusNormal"/>
        <w:jc w:val="right"/>
      </w:pPr>
      <w:r>
        <w:t>Российской Федерации</w:t>
      </w:r>
    </w:p>
    <w:p w:rsidR="006B0AC9" w:rsidRDefault="006B0AC9">
      <w:pPr>
        <w:pStyle w:val="ConsPlusNormal"/>
        <w:jc w:val="right"/>
      </w:pPr>
      <w:r>
        <w:t>от 30 сентября 2018 г. N 2101-р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</w:pPr>
      <w:bookmarkStart w:id="0" w:name="P39"/>
      <w:bookmarkEnd w:id="0"/>
      <w:r>
        <w:t>КОМПЛЕКСНЫЙ ПЛАН</w:t>
      </w:r>
    </w:p>
    <w:p w:rsidR="006B0AC9" w:rsidRDefault="006B0AC9">
      <w:pPr>
        <w:pStyle w:val="ConsPlusTitle"/>
        <w:jc w:val="center"/>
      </w:pPr>
      <w:r>
        <w:t>МОДЕРНИЗАЦИИ И РАСШИРЕНИЯ МАГИСТРАЛЬНОЙ ИНФРАСТРУКТУРЫ</w:t>
      </w:r>
    </w:p>
    <w:p w:rsidR="006B0AC9" w:rsidRDefault="006B0AC9">
      <w:pPr>
        <w:pStyle w:val="ConsPlusTitle"/>
        <w:jc w:val="center"/>
      </w:pPr>
      <w:r>
        <w:t>НА ПЕРИОД ДО 2024 ГОДА</w:t>
      </w:r>
    </w:p>
    <w:p w:rsidR="006B0AC9" w:rsidRDefault="006B0A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0A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AC9" w:rsidRDefault="006B0A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AC9" w:rsidRDefault="006B0A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17.08.2019 </w:t>
            </w:r>
            <w:hyperlink r:id="rId19">
              <w:r>
                <w:rPr>
                  <w:color w:val="0000FF"/>
                </w:rPr>
                <w:t>N 1844-р</w:t>
              </w:r>
            </w:hyperlink>
            <w:r>
              <w:rPr>
                <w:color w:val="392C69"/>
              </w:rPr>
              <w:t>,</w:t>
            </w:r>
          </w:p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13.03.2020 </w:t>
            </w:r>
            <w:hyperlink r:id="rId20">
              <w:r>
                <w:rPr>
                  <w:color w:val="0000FF"/>
                </w:rPr>
                <w:t>N 610-р</w:t>
              </w:r>
            </w:hyperlink>
            <w:r>
              <w:rPr>
                <w:color w:val="392C69"/>
              </w:rPr>
              <w:t xml:space="preserve">, от 04.07.2020 </w:t>
            </w:r>
            <w:hyperlink r:id="rId21">
              <w:r>
                <w:rPr>
                  <w:color w:val="0000FF"/>
                </w:rPr>
                <w:t>N 1747-р</w:t>
              </w:r>
            </w:hyperlink>
            <w:r>
              <w:rPr>
                <w:color w:val="392C69"/>
              </w:rPr>
              <w:t xml:space="preserve">, от 20.02.2021 </w:t>
            </w:r>
            <w:hyperlink r:id="rId22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>,</w:t>
            </w:r>
          </w:p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28.12.2021 </w:t>
            </w:r>
            <w:hyperlink r:id="rId23">
              <w:r>
                <w:rPr>
                  <w:color w:val="0000FF"/>
                </w:rPr>
                <w:t>N 3896-р</w:t>
              </w:r>
            </w:hyperlink>
            <w:r>
              <w:rPr>
                <w:color w:val="392C69"/>
              </w:rPr>
              <w:t xml:space="preserve">, от 13.04.2022 </w:t>
            </w:r>
            <w:hyperlink r:id="rId24">
              <w:r>
                <w:rPr>
                  <w:color w:val="0000FF"/>
                </w:rPr>
                <w:t>N 855-р</w:t>
              </w:r>
            </w:hyperlink>
            <w:r>
              <w:rPr>
                <w:color w:val="392C69"/>
              </w:rPr>
              <w:t xml:space="preserve">, от 09.12.2022 </w:t>
            </w:r>
            <w:hyperlink r:id="rId25">
              <w:r>
                <w:rPr>
                  <w:color w:val="0000FF"/>
                </w:rPr>
                <w:t>N 3867-р</w:t>
              </w:r>
            </w:hyperlink>
            <w:r>
              <w:rPr>
                <w:color w:val="392C69"/>
              </w:rPr>
              <w:t>,</w:t>
            </w:r>
          </w:p>
          <w:p w:rsidR="006B0AC9" w:rsidRDefault="006B0AC9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04.05.2023 N 693,</w:t>
            </w:r>
          </w:p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18.05.2023 </w:t>
            </w:r>
            <w:hyperlink r:id="rId27">
              <w:r>
                <w:rPr>
                  <w:color w:val="0000FF"/>
                </w:rPr>
                <w:t>N 1288-р</w:t>
              </w:r>
            </w:hyperlink>
            <w:r>
              <w:rPr>
                <w:color w:val="392C69"/>
              </w:rPr>
              <w:t>,</w:t>
            </w:r>
          </w:p>
          <w:p w:rsidR="006B0AC9" w:rsidRDefault="006B0A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24.06.2023 </w:t>
            </w:r>
            <w:hyperlink r:id="rId28">
              <w:r>
                <w:rPr>
                  <w:color w:val="0000FF"/>
                </w:rPr>
                <w:t>N 1653-р</w:t>
              </w:r>
            </w:hyperlink>
            <w:r>
              <w:rPr>
                <w:color w:val="392C69"/>
              </w:rPr>
              <w:t xml:space="preserve">, от 20.02.2024 </w:t>
            </w:r>
            <w:hyperlink r:id="rId29">
              <w:r>
                <w:rPr>
                  <w:color w:val="0000FF"/>
                </w:rPr>
                <w:t>N 383-р</w:t>
              </w:r>
            </w:hyperlink>
            <w:r>
              <w:rPr>
                <w:color w:val="392C69"/>
              </w:rPr>
              <w:t xml:space="preserve">, от 31.08.2024 </w:t>
            </w:r>
            <w:hyperlink r:id="rId30">
              <w:r>
                <w:rPr>
                  <w:color w:val="0000FF"/>
                </w:rPr>
                <w:t>N 2388-р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AC9" w:rsidRDefault="006B0AC9">
            <w:pPr>
              <w:pStyle w:val="ConsPlusNormal"/>
            </w:pP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Краткое наименование комплексного плана модернизации и расширения магистральной инфраструктуры на период до 2024 года - план.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Срок начала реализации плана - 1 октября 2018 г.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Срок окончания реализации плана - 31 декабря 2024 г.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1"/>
      </w:pPr>
      <w:r>
        <w:t>Раздел I. Транспортная инфраструктура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2"/>
      </w:pPr>
      <w:r>
        <w:t>1. Основные положения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Краткое наименование раздела - транспортная часть плана.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Куратором реализации транспортной части плана является Заместитель Председателя Правительства Российской Федерации Акимов М.А.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Руководителем реализации транспортной части плана является Министр транспорта Российской Федерации Дитрих Е.И.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Администратором реализации транспортной части плана является первый заместитель Министра транспорта Российской Федерации Алафинов И.С.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2"/>
      </w:pPr>
      <w:r>
        <w:t>2. Цели, целевые и дополнительные показатели реализации</w:t>
      </w:r>
    </w:p>
    <w:p w:rsidR="006B0AC9" w:rsidRDefault="006B0AC9">
      <w:pPr>
        <w:pStyle w:val="ConsPlusTitle"/>
        <w:jc w:val="center"/>
      </w:pPr>
      <w:r>
        <w:t>транспортной части плана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sectPr w:rsidR="006B0AC9" w:rsidSect="00FA25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1"/>
        <w:gridCol w:w="3272"/>
        <w:gridCol w:w="1955"/>
        <w:gridCol w:w="1358"/>
        <w:gridCol w:w="1302"/>
        <w:gridCol w:w="1251"/>
        <w:gridCol w:w="1020"/>
        <w:gridCol w:w="1020"/>
        <w:gridCol w:w="1020"/>
        <w:gridCol w:w="1020"/>
        <w:gridCol w:w="1020"/>
        <w:gridCol w:w="1025"/>
      </w:tblGrid>
      <w:tr w:rsidR="006B0AC9">
        <w:tc>
          <w:tcPr>
            <w:tcW w:w="40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Цель, дополнительный показатель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Уровень контроля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7407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Период</w:t>
            </w:r>
          </w:p>
        </w:tc>
      </w:tr>
      <w:tr w:rsidR="006B0AC9"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2024 год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50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3"/>
            </w:pPr>
            <w:r>
              <w:t>1. Развитие транспортных коридоров "Запад - Восток" и "Север - Юг" для перевозки грузов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Индекс качества транспортной инфраструктуры к уровню 2017 года </w:t>
            </w:r>
            <w:hyperlink w:anchor="P395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396">
              <w:r>
                <w:rPr>
                  <w:color w:val="0000FF"/>
                </w:rPr>
                <w:t>&lt;2&gt;</w:t>
              </w:r>
            </w:hyperlink>
            <w:r>
              <w:t>, процентов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президиум Совета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101,7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109,3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110,6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113,5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115,5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Доля автомобильных дорог, работающих без перегрузки, в общей протяженности автомобильных дорог, относящихся к международному транспортному маршруту "Европа - Западный Китай", процентов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Правительственная комиссия </w:t>
            </w:r>
            <w:hyperlink w:anchor="P39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67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Прирост производственной мощности морских портов, млн. тонн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44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Сроки доставки транзитных контейнерных перевозок на направлении "Север - Юг" (Красное, порты и погранпереходы Северо-Запада - Самур), суток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2,1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Сроки доставки транзитных контейнерных перевозок на направлении "Европа - Западный Китай" (Красное - Илецк, Озинки, Карталы, Петропавловск), суток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1,6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1.1.5.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Сроки доставки транзитных контейнерных перевозок на направлении "Запад - Восток" (Красное, порты и погранпереходы Северо-Запада - Наушки, Забайкальск, порты и погранпереходы Дальнего Востока), суток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Средняя скорость доставки транзитного контейнеропотока, км/сутки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1319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Суммарная провозная способность магистралей, млн. тонн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182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Суммарная наличная пропускная способность магистралей, пар грузовых поездов в сутки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129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Провозная способность участков на подходах к портам, млн. тонн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125,1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1.1.10.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Суммарная мощность введенных в эксплуатацию мультимодальных транспортно-логистических центров, млн. тонн </w:t>
            </w:r>
            <w:hyperlink w:anchor="P403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51,6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1.1.11.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Средняя коммерческая скорость товародвижения на железнодорожном транспорте, км/сутки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362,3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уточняется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440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1.1.12.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Протяженность высокоскоростных магистралей, введенных в эксплуатацию, км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301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1.1.13.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Протяженность участков внутренних водных путей, ограничивающих их пропускную способность, тыс. км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1.1.14.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Ежегодный прирост пропускной способности внутренних водных путей, млн. тонн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0,91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40,45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4,31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3,1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Объем экспорта услуг транспортного комплекса, млрд. долларов США </w:t>
            </w:r>
            <w:hyperlink w:anchor="P39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президиум Совета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25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Объем перевозок грузов в акватории Северного морского пути, млн. тонн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80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Транзитные перевозки контейнеров железнодорожным транспортом, тыс. двадцатифутовых эквивалентов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уточняется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уточняется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уточняется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1656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Рост экспорта услуг от транзитных перевозок к уровню 2017 года (дополнительный), процентов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107,3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110,6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116,9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129,3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135,4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Место Российской Федерации в рейтинге стран по индексу эффективности грузовой логистики (Logistics Performance </w:t>
            </w:r>
            <w:r>
              <w:lastRenderedPageBreak/>
              <w:t xml:space="preserve">Index) (аналитический), единиц </w:t>
            </w:r>
            <w:hyperlink w:anchor="P40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президиум Совета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 сентября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50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5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3"/>
            </w:pPr>
            <w:bookmarkStart w:id="1" w:name="P320"/>
            <w:bookmarkEnd w:id="1"/>
            <w:r>
              <w:t>2.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Транспортная подвижность населения, тыс. пасс-км на 1 чел. в год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президиум Совета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9,5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Пассажиропоток в пригородном сообщении Московского железнодорожного узла, млн. пассажиров в год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850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Авиационная подвижность населения, полетов на 1 чел. в год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уточняется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0,89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0,95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Доля пассажиропотока по маршрутам, минуя г. Москву, в объеме внутренних перевозок, процентов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51,35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Доля центров экономического роста, связанных скоростными транспортными коммуникациями (дополнительный), процентов </w:t>
            </w:r>
            <w:hyperlink w:anchor="P40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января 2018 г.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100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Повышение уровня транспортной обеспеченности субъектов Российской Федерации к уровню 2017 года </w:t>
            </w:r>
            <w:r>
              <w:lastRenderedPageBreak/>
              <w:t xml:space="preserve">(дополнительный), процентов </w:t>
            </w:r>
            <w:hyperlink w:anchor="P406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Правительственная комиссия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100,2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101,8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106,7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107,7</w:t>
            </w:r>
          </w:p>
        </w:tc>
      </w:tr>
    </w:tbl>
    <w:p w:rsidR="006B0AC9" w:rsidRDefault="006B0AC9">
      <w:pPr>
        <w:pStyle w:val="ConsPlusNormal"/>
        <w:sectPr w:rsidR="006B0AC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--------------------------------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2" w:name="P395"/>
      <w:bookmarkEnd w:id="2"/>
      <w:r>
        <w:t xml:space="preserve">&lt;1&gt; Показатель также характеризует достижение </w:t>
      </w:r>
      <w:hyperlink w:anchor="P320">
        <w:r>
          <w:rPr>
            <w:color w:val="0000FF"/>
          </w:rPr>
          <w:t>задачи 2</w:t>
        </w:r>
      </w:hyperlink>
      <w:r>
        <w:t xml:space="preserve"> "Повышение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инфраструктуры". Приведена предварительная расчетная оценка, значения будут уточнены по результатам разработки уточненного прогноза социально-экономического развития Российской Федерации на период до 2024 года и принятия федерального закона о федеральном бюджете на 2019 год и на плановый период 2020 и 2021 годов.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3" w:name="P396"/>
      <w:bookmarkEnd w:id="3"/>
      <w:r>
        <w:t>&lt;2&gt; Значения показателя приведены с учетом реализации мероприятий национального проекта "Международная кооперация и экспорт".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4" w:name="P397"/>
      <w:bookmarkEnd w:id="4"/>
      <w:r>
        <w:t>&lt;3&gt; Для управления реализацией транспортной части плана Правительственная комиссия выполняет функции по: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координации действий ответственных исполнителей и соисполнителей мероприятий;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утверждению набора мероприятий и результатов по федеральным проектам, входящим в транспортную часть плана или увязанным с указанными мероприятиями;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формированию системы рейтингования (ранжирования) федеральных проектов с правом исключения и (или) включения отдельных мероприятий и объектов в состав транспортной части плана (без превышения предельных объемов финансирования);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принятию решения о начале, прекращении или завершении мероприятий и федеральных проектов, включенных в состав транспортной части плана;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определению системы финансирования отдельных мероприятий и проектов и достижения целевых значений контрольных показателей, а также по формированию предложений о дополнительных мерах, обеспечивающих их достижение.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5" w:name="P403"/>
      <w:bookmarkEnd w:id="5"/>
      <w:r>
        <w:t>&lt;4&gt; С учетом синхронизации планов различных ведомств и организаций по развитию сети существующих центров, включая в том числе терминально-логистические центры: оптово-распределительные центры Минсельхоза России, производственно-логистические комплексы Минобороны России, логистические центры федерального государственного унитарного предприятия "Почта России", терминально-логистические центры открытого акционерного общества "Российские железные дороги" и др.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6" w:name="P404"/>
      <w:bookmarkEnd w:id="6"/>
      <w:r>
        <w:t>&lt;5&gt; Индекс рассчитывается Всемирным банком один раз в два года.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7" w:name="P405"/>
      <w:bookmarkEnd w:id="7"/>
      <w:r>
        <w:t>&lt;6&gt; К таким центрам относятся те, которые связаны хотя бы с одним ближайшим центром экономического роста автомобильной дорогой, более 20 процентов протяженности которой относится к категории не ниже 1б, либо скоростным или высокоскоростным железнодорожным сообщением, либо ежедневным регулярным авиасообщением.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8" w:name="P406"/>
      <w:bookmarkEnd w:id="8"/>
      <w:r>
        <w:t>&lt;7&gt; Уровень транспортной обеспеченности определяется как доля населения, проживающего в регионах, где будет повышен уровень транспортной обеспеченности за счет расширения и модернизации транспортной инфраструктуры.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2"/>
      </w:pPr>
      <w:r>
        <w:t>3. Структура реализации транспортной части плана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sectPr w:rsidR="006B0AC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08"/>
        <w:gridCol w:w="2211"/>
        <w:gridCol w:w="2665"/>
        <w:gridCol w:w="4139"/>
      </w:tblGrid>
      <w:tr w:rsidR="006B0AC9"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 xml:space="preserve">Наименование федерального проекта </w:t>
            </w:r>
            <w:hyperlink w:anchor="P46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Куратор федерального проекта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Руководитель федерального проекта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Европа - Западный Китай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октября 2018 г. - 31 декабря 2024 г.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Министр транспорта Российской Федерации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первый заместитель Министра транспорта Российской Федерации Алафинов И.С.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Морские порты России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октября 2018 г. - 31 декабря 2024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Министр транспорта Российской Федерации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Северный морской путь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октября 2018 г. - 31 декабря 2024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Министр транспорта Российской Федерации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Железнодорожный транспорт и транзит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октября 2018 г. - 31 декабря 2024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Министр транспорта Российской Федерации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(по согласованию)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Транспортно-логистические центры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октября 2018 г. - 31 декабря 2024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Министр транспорта Российской Федерации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(по согласованию)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Коммуникации между центрами экономического роста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октября 2018 г. - 31 декабря 2024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Министр транспорта Российской Федерации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первый заместитель Министра транспорта Российской Федерации Алафинов И.С.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Развитие региональных аэропортов и маршрутов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октября 2018 г. - 31 декабря 2024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Министр транспорта Российской Федерации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Юрчик А.А.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Высокоскоростное железнодорожное сообщение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октября 2018 г. - 31 декабря 2024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Министр транспорта Российской Федерации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(по согласованию)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Внутренние водные пути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октября 2018 г. - 31 декабря 2024 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Министр транспорта Российской Федерации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9" w:name="P461"/>
      <w:bookmarkEnd w:id="9"/>
      <w:r>
        <w:t xml:space="preserve">&lt;*&gt; Соответствует целям, поставленным в </w:t>
      </w:r>
      <w:hyperlink r:id="rId31">
        <w:r>
          <w:rPr>
            <w:color w:val="0000FF"/>
          </w:rPr>
          <w:t>подпунктах "а"</w:t>
        </w:r>
      </w:hyperlink>
      <w:r>
        <w:t xml:space="preserve"> и </w:t>
      </w:r>
      <w:hyperlink r:id="rId32">
        <w:r>
          <w:rPr>
            <w:color w:val="0000FF"/>
          </w:rPr>
          <w:t>"б" пункта 15</w:t>
        </w:r>
      </w:hyperlink>
      <w:r>
        <w:t xml:space="preserve"> Указа Президента Российской Федерации от 7 мая 2018 г. N 204 "О национальных целях и стратегических задачах Российской Федерации на период до 2024 года".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2"/>
      </w:pPr>
      <w:r>
        <w:t>4. Задачи и результаты транспортной части плана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3"/>
      </w:pPr>
      <w:r>
        <w:t>4.1. Федеральный проект "Европа - Западный Китай"</w:t>
      </w:r>
    </w:p>
    <w:p w:rsidR="006B0AC9" w:rsidRDefault="006B0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3628"/>
        <w:gridCol w:w="1871"/>
        <w:gridCol w:w="3288"/>
      </w:tblGrid>
      <w:tr w:rsidR="006B0AC9"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Описание результата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Характеристика результата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Задача "Строительство и модернизация российских участков автомобильных дорог, относящихся к международному транспортному маршруту "Европа - Западный Китай"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скоростной автомобильной дороги "Москва - Нижний Новгород - Казань", входящей в состав международного транспортного маршрута "Европа - Западный Китай"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завершено строительство 729 км новых автомобильных дорог 1 категории в составе международного транспортного маршрута "Европа - Западный Китай". Прирост сети скоростных автомобильных дорог в доверительном управлении Государственной компании "Автодор" составил 729 км, или 29 процентов к уровню 2018 года. Сокращение времени в пути между Москвой и Казанью с 12 до 6,5 часов (в 1,8 раза)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председатель правления Государственной компании "Российские автомобильные дороги" Кельбах С.В.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Осуществлено строительство обхода г. Тольятти с мостовым переходом через р. Волгу в составе международного транспортного маршрута </w:t>
            </w:r>
            <w:r>
              <w:lastRenderedPageBreak/>
              <w:t>"Европа - Западный Китай"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завершено строительство 97 км новых автомобильных дорог 1 категории в составе международного транспортного маршрута "Европа - Западный </w:t>
            </w:r>
            <w:r>
              <w:lastRenderedPageBreak/>
              <w:t>Китай". Прирост сети скоростных автомобильных дорог в доверительном управлении Государственной компании "Автодор" составил 97 км, или 4 процента к уровню 2018 года;</w:t>
            </w:r>
          </w:p>
          <w:p w:rsidR="006B0AC9" w:rsidRDefault="006B0AC9">
            <w:pPr>
              <w:pStyle w:val="ConsPlusNormal"/>
            </w:pPr>
            <w:r>
              <w:t>сокращено время в пути между Москвой и Самарой с 16 до 8 часов (в 2 раза) (при условии выполнения мероприятий, предусмотренных позицией 1)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2019 - 2023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Губернатор Самарской области Азаров Д.И.</w:t>
            </w:r>
          </w:p>
          <w:p w:rsidR="006B0AC9" w:rsidRDefault="006B0AC9">
            <w:pPr>
              <w:pStyle w:val="ConsPlusNormal"/>
            </w:pPr>
            <w:r>
              <w:t>руководитель Росавтодора Костюк А.А.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Строительство российского участка платной автомагистрали "Меридиан" </w:t>
            </w:r>
            <w:hyperlink w:anchor="P49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завершено строительство новых автомобильных дорог 1 категории в составе международного транспортного маршрута "Европа - Западный Китай" (протяженность уточняется)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закрытого акционерного общества "Русская Холдинговая Компания" Михан Н.А. (по согласованию)</w:t>
            </w: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--------------------------------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10" w:name="P491"/>
      <w:bookmarkEnd w:id="10"/>
      <w:r>
        <w:t>&lt;*&gt; Реализуется при условии подтверждения прогнозной грузовой базы и подтверждения финансирования из внебюджетных источников.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3"/>
      </w:pPr>
      <w:r>
        <w:t>4.2. Федеральный проект "Морские порты России"</w:t>
      </w:r>
    </w:p>
    <w:p w:rsidR="006B0AC9" w:rsidRDefault="006B0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3628"/>
        <w:gridCol w:w="1871"/>
        <w:gridCol w:w="3288"/>
      </w:tblGrid>
      <w:tr w:rsidR="006B0AC9"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Описание результата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Характеристика результата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Задача "Увеличение мощностей морских портов Российской Федерации (до 1,3 млрд. тонн), включая порты Дальневосточного, Северо-Западного, Волго-Каспийского и Азово-Черноморского бассейнов"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по развитию портовой инфраструктуры Арктического бассейна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увеличение мощности российских морских портов на 64,7 млн. тонн (18,1 процента общего прироста </w:t>
            </w:r>
            <w:hyperlink w:anchor="P57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Ю.А.,</w:t>
            </w:r>
          </w:p>
          <w:p w:rsidR="006B0AC9" w:rsidRDefault="006B0AC9">
            <w:pPr>
              <w:pStyle w:val="ConsPlusNormal"/>
            </w:pPr>
            <w:r>
              <w:lastRenderedPageBreak/>
              <w:t>директор федерального казенного учреждения "Дирекция государственного заказчика по реализации федеральной целевой программы "Модернизация транспортной системы России" Гудков И.Э.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по комплексному развитию Мурманского транспортного узла, в т.ч. осуществлено строительство угольного терминала "Лавна" и объектов федеральной собственности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увеличение мощности российских морских портов на 18 млн. тонн, или 27,8 процента прироста по бассейну (5 процентов общего прироста)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2018 - 2022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Ю.А.,</w:t>
            </w:r>
          </w:p>
          <w:p w:rsidR="006B0AC9" w:rsidRDefault="006B0AC9">
            <w:pPr>
              <w:pStyle w:val="ConsPlusNormal"/>
            </w:pPr>
            <w:r>
              <w:t>директор федерального казенного учреждения "Дирекция государственного заказчика по реализации федеральной целевой программы "Модернизация транспортной системы России" Гудков И.Э.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и реконструкция объектов портовой инфраструктуры за счет внебюджетных источников финансирования в морском порту Диксон (угольный терминал Чайка), Пайяхского и Северо-Пайяхского месторождения (нефтяной терминал Таналау)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увеличение мощности российских морских портов на 10 млн. тонн, или 15,5 процента прироста по бассейну (2,8 процента общего прироста)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2019 - 2021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Реализованы мероприятия по </w:t>
            </w:r>
            <w:r>
              <w:lastRenderedPageBreak/>
              <w:t>развитию портовой инфраструктуры Дальневосточного бассейна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увеличение мощности российских </w:t>
            </w:r>
            <w:r>
              <w:lastRenderedPageBreak/>
              <w:t>морских портов на 130,7 млн. тонн (36,6 процента общего прироста)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заместитель Министра </w:t>
            </w:r>
            <w:r>
              <w:lastRenderedPageBreak/>
              <w:t>транспорта Российской Федерации - руководитель Росморречфлота Цветков Ю.А.,</w:t>
            </w:r>
          </w:p>
          <w:p w:rsidR="006B0AC9" w:rsidRDefault="006B0AC9">
            <w:pPr>
              <w:pStyle w:val="ConsPlusNormal"/>
            </w:pPr>
            <w:r>
              <w:t>директор федерального казенного учреждения "Дирекция государственного заказчика по реализации федеральной целевой программы "Модернизация транспортной системы России" Гудков И.Э.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специализированного угольного перегрузочного комплекса в бухте Мучке, Хабаровский край, в том числе объектов федеральной собственности (подводные гидротехнические сооружения, объекты безопасности мореплавания)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увеличение мощности российских морских портов на 24 млн. тонн, или 18,4 процента прироста по бассейну (6,7 процента общего прироста)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2015 - 2022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>Реализованы мероприятия по развитию транспортного узла "Восточный-Находка"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увеличение мощности российских морских портов на 31 млн. тонн, или 16,8 процента прироста по бассейну (6,2 процента общего прироста)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директор федерального казенного учреждения "Дирекция государственного заказчика по реализации федеральной целевой программы "Модернизация транспортной системы России" Гудков И.Э.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Реализованы мероприятия по развитию портовой </w:t>
            </w:r>
            <w:r>
              <w:lastRenderedPageBreak/>
              <w:t>инфраструктуры Северо-Западного (Балтийского) бассейна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увеличение мощности российских морских портов на 53,8 млн. тонн </w:t>
            </w:r>
            <w:r>
              <w:lastRenderedPageBreak/>
              <w:t>(15,1 процента общего прироста)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заместитель Министра транспорта Российской </w:t>
            </w:r>
            <w:r>
              <w:lastRenderedPageBreak/>
              <w:t>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морского международного грузопассажирского района в г. Пионерский, Калининградская область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увеличение мощности российских морских портов на 3 млн. тонн, 250 тыс. пассажиров, или 5,6 процента прироста по бассейну (0,8 процента общего прироста)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2017 - 2019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по развитию портовой инфраструктуры Волго-Каспийского (Каспийского) бассейна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увеличение мощности российских морских портов на 1 млн. тонн (0,3 процента прироста)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по развитию портовой инфраструктуры Азово-Черноморского бассейна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>увеличение мощности российских морских портов на 103,9 млн. тонн (29,1 процента общего прироста)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Ю.А.,</w:t>
            </w:r>
          </w:p>
          <w:p w:rsidR="006B0AC9" w:rsidRDefault="006B0AC9">
            <w:pPr>
              <w:pStyle w:val="ConsPlusNormal"/>
            </w:pPr>
            <w:r>
              <w:t>директор федерального казенного учреждения "Дирекция государственного заказчика по реализации федеральной целевой программы "Модернизация транспортной системы России" Гудков И.Э.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Создан сухогрузный район морского порта "Тамань"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увеличение мощности российских морских портов на 62 млн. тонн, или 59,7 процента прироста по бассейну (17,4 процента общего прироста)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Ю.А.,</w:t>
            </w:r>
          </w:p>
          <w:p w:rsidR="006B0AC9" w:rsidRDefault="006B0AC9">
            <w:pPr>
              <w:pStyle w:val="ConsPlusNormal"/>
            </w:pPr>
            <w:r>
              <w:t xml:space="preserve">директор федерального казенного учреждения </w:t>
            </w:r>
            <w:r>
              <w:lastRenderedPageBreak/>
              <w:t>"Дирекция государственного заказчика по реализации федеральной целевой программы "Модернизация транспортной системы России" Гудков И.Э.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ледокольного флота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обеспечена замена 8 ледоколов, выработавших срок службы, а также за счет 1 ледокола усилена группировка ледоколов для обеспечения круглогодичной работы замерзающих морских портов (уточняется по данным Росатомфлота)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развитие автодорожных подходов к морским портам Азово-Черноморского, Каспийского, Балтийского, Дальневосточного бассейнов, а также бассейнов Западной и Восточной Арктики (осуществлена реконструкция автомобильных дорог А-290 Новороссийск - Керчь, А-181 "Скандинавия", Р-21 "Кола", Р-217 "Кавказ" и др.)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завершена реконструкция 308 км автомобильных дорог федерального значения на подъездах к морским портам. Увеличена пропускная способность реконструированных участков до 20 тыс. единиц/сутки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Росавтодора Костюк А.А.</w:t>
            </w:r>
          </w:p>
        </w:tc>
      </w:tr>
    </w:tbl>
    <w:p w:rsidR="006B0AC9" w:rsidRDefault="006B0AC9">
      <w:pPr>
        <w:pStyle w:val="ConsPlusNormal"/>
        <w:sectPr w:rsidR="006B0AC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--------------------------------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11" w:name="P572"/>
      <w:bookmarkEnd w:id="11"/>
      <w:r>
        <w:t>&lt;*&gt; Подлежит уточнению.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3"/>
      </w:pPr>
      <w:r>
        <w:t>4.3. Федеральный проект "Северный морской путь"</w:t>
      </w:r>
    </w:p>
    <w:p w:rsidR="006B0AC9" w:rsidRDefault="006B0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3628"/>
        <w:gridCol w:w="1871"/>
        <w:gridCol w:w="3288"/>
      </w:tblGrid>
      <w:tr w:rsidR="006B0AC9"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Описание результата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Характеристика результата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1. Задача "Развитие Северного морского пути"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объектов Глобальной морской системы связи при бедствии и для обеспечения безопасности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обеспечена безопасность мореплавания в акватории Северного морского пути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по навигационно-гидрографическому обеспечению судоходства на трассах Северного морского пути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обеспечена безопасность мореплавания в акватории Северного морского пути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базы и причала для стоянки аварийно-спасательных судов, г. Мурманск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обеспечена безопасность мореплавания в акватории Северного морского пути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гидрографических, лоцмейстерских, аварийно-спасательных судов ледового класса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обеспечена безопасность мореплавания в акватории Северного морского пути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2. Задача "Увеличение грузопотока по Северному морскому пути до 80 млн. тонн"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>Осуществлено строительство 4 ледоколов на сжиженном природном газе для оказания услуг ледокольного флота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обеспечена возможность круглогодичной отгрузки сжиженного природного газа из порта Сабетта, Ямал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генеральный директор Государственной корпорации по атомной энергии "Росатом" Лихачев А.Е.</w:t>
            </w:r>
          </w:p>
          <w:p w:rsidR="006B0AC9" w:rsidRDefault="006B0AC9">
            <w:pPr>
              <w:pStyle w:val="ConsPlusNormal"/>
            </w:pPr>
            <w:r>
              <w:t>(по согласованию)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по развитию портовой инфраструктуры Северного морского пути, в том числе осуществлено строительство терминала сжиженного природного газа и газового конденсата "Утренний" в морском порту Сабетта, включая объекты федеральной собственности (подводные гидротехнические сооружения, ледозащитные сооружения, объекты безопасности мореплавания), а также реконструкция судоходного подходного канала к порту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увеличена мощность российских морских портов на 21,6 млн. тонн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3"/>
      </w:pPr>
      <w:r>
        <w:t>4.4. Федеральный проект "Железнодорожный транспорт</w:t>
      </w:r>
    </w:p>
    <w:p w:rsidR="006B0AC9" w:rsidRDefault="006B0AC9">
      <w:pPr>
        <w:pStyle w:val="ConsPlusTitle"/>
        <w:jc w:val="center"/>
      </w:pPr>
      <w:r>
        <w:t>и транзит"</w:t>
      </w:r>
    </w:p>
    <w:p w:rsidR="006B0AC9" w:rsidRDefault="006B0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3628"/>
        <w:gridCol w:w="1871"/>
        <w:gridCol w:w="3288"/>
      </w:tblGrid>
      <w:tr w:rsidR="006B0AC9"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Описание результата </w:t>
            </w:r>
            <w:hyperlink w:anchor="P65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Характеристика результата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1. Задача "Увеличение пропускной способности Байкало-Амурской и Транссибирской железнодорожных магистралей в 1,5 раза до 180 млн. тонн"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Выполнены приоритетные </w:t>
            </w:r>
            <w:r>
              <w:lastRenderedPageBreak/>
              <w:t>мероприятия по развитию железнодорожной инфраструктуры Байкало-Амурской и Транссибирской железнодорожных магистралей с развитием пропускных и провозных способностей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увеличена суммарная провозная </w:t>
            </w:r>
            <w:r>
              <w:lastRenderedPageBreak/>
              <w:t>способность магистралей до 182 млн. тонн;</w:t>
            </w:r>
          </w:p>
          <w:p w:rsidR="006B0AC9" w:rsidRDefault="006B0AC9">
            <w:pPr>
              <w:pStyle w:val="ConsPlusNormal"/>
            </w:pPr>
            <w:r>
              <w:t>увеличена суммарная наличная пропускная способность магистралей до 129 пар грузовых поездов в сутки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руководитель Росжелдора Чепец </w:t>
            </w:r>
            <w:r>
              <w:lastRenderedPageBreak/>
              <w:t>В.Ю.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Обеспечена реализация 18 мероприятий по развитию электрической сети в целях реализации первого этапа расширения Байкало-Амурской и Транссибирской железнодорожных магистралей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обеспечена электрификация тяговых подстанций первого этапа расширения Байкало-Амурской и Транссибирской железнодорожных магистралей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Маневич Ю.В.,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17.08.2019 N 1844-р,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</w:p>
          <w:p w:rsidR="006B0AC9" w:rsidRDefault="006B0AC9">
            <w:pPr>
              <w:pStyle w:val="ConsPlusNormal"/>
              <w:jc w:val="both"/>
            </w:pPr>
            <w:r>
              <w:t>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2. Задача "Сокращение времени перевозки контейнеров железнодорожным транспортом (в частности, с Дальнего Востока до западной границы Российской Федерации) до 7 дней, увеличение объема транзитных перевозок контейнеров железнодорожным транспортом в 4 раза"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Осуществлена реконструкция железнодорожных станций, произведено усиление устройств электроснабжения, строительство дополнительных главных путей, произведено оборудование путей автоблокировкой, а также ликвидированы кривые малого радиуса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средняя скорость доставки транзитного контейнеропотока выросла до 1319 км/сутки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Росжелдора Чепец В.Ю.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Осуществлено строительство </w:t>
            </w:r>
            <w:r>
              <w:lastRenderedPageBreak/>
              <w:t xml:space="preserve">железнодорожной линии Селихин - Ныш с переходом пролива Невельского </w:t>
            </w:r>
            <w:hyperlink w:anchor="P65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обеспечено развитие </w:t>
            </w:r>
            <w:r>
              <w:lastRenderedPageBreak/>
              <w:t>железнодорожной инфраструктуры для осуществления грузовых перевозок в сообщении с островом Сахалин в объеме до 36,9 млн. тонн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руководитель Росжелдора Чепец </w:t>
            </w:r>
            <w:r>
              <w:lastRenderedPageBreak/>
              <w:t>В.Ю.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lastRenderedPageBreak/>
              <w:t>3. Задача "Увеличение пропускной способности железнодорожных подходов к морским портам Азово-Черноморского бассейна"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развитие и обновление железнодорожной инфраструктуры на подходах к портам Азово-Черноморского бассейна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провозная способность участков на подходах к портам увеличена до 125,1 млн. тонн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Росжелдора Чепец В.Ю.,</w:t>
            </w:r>
          </w:p>
          <w:p w:rsidR="006B0AC9" w:rsidRDefault="006B0AC9">
            <w:pPr>
              <w:pStyle w:val="ConsPlusNormal"/>
            </w:pPr>
            <w:r>
              <w:t>директор федерального казенного учреждения "Дирекция государственного заказчика по реализации федеральной целевой программы "Модернизация транспортной системы России" Гудков И.Э.</w:t>
            </w: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--------------------------------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12" w:name="P656"/>
      <w:bookmarkEnd w:id="12"/>
      <w:r>
        <w:t>&lt;1&gt; Мероприятия открытого акционерного общества "Российские железные дороги" реализуются с сохранением его права распоряжаться чистой прибылью, полученной в период реализации плана, без выплаты дивидендов по обыкновенным акциям.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13" w:name="P657"/>
      <w:bookmarkEnd w:id="13"/>
      <w:r>
        <w:t>&lt;2&gt; Реализация мероприятия планируется при дополнительном финансовом обеспечении, а также при условии подтверждения прогнозной грузовой базы и финансирования из внебюджетных источников.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3"/>
      </w:pPr>
      <w:r>
        <w:t>4.5. Федеральный проект "Транспортно-логистические центры"</w:t>
      </w:r>
    </w:p>
    <w:p w:rsidR="006B0AC9" w:rsidRDefault="006B0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3628"/>
        <w:gridCol w:w="1871"/>
        <w:gridCol w:w="3288"/>
      </w:tblGrid>
      <w:tr w:rsidR="006B0AC9"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Описание результата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Характеристика результата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Задача "Формирование узловых грузовых мультимодальных транспортно-логистических центров"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Сформированы узловые грузовые мультимодальные </w:t>
            </w:r>
            <w:r>
              <w:lastRenderedPageBreak/>
              <w:t xml:space="preserve">транспортно-логистические центры </w:t>
            </w:r>
            <w:hyperlink w:anchor="P67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обеспечено обслуживание прогнозных грузопотоков по </w:t>
            </w:r>
            <w:r>
              <w:lastRenderedPageBreak/>
              <w:t>транспортным коридорам "Восток-Запад" и "Север-Юг";</w:t>
            </w:r>
          </w:p>
          <w:p w:rsidR="006B0AC9" w:rsidRDefault="006B0AC9">
            <w:pPr>
              <w:pStyle w:val="ConsPlusNormal"/>
            </w:pPr>
            <w:r>
              <w:t>суммарная мощность введенных в эксплуатацию грузовых мультимодальных транспортно-логистических центров составила не менее 51,6 млн. тонн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Минтранс России,</w:t>
            </w:r>
          </w:p>
          <w:p w:rsidR="006B0AC9" w:rsidRDefault="006B0AC9">
            <w:pPr>
              <w:pStyle w:val="ConsPlusNormal"/>
            </w:pPr>
            <w:r>
              <w:t>Минобороны России,</w:t>
            </w:r>
          </w:p>
          <w:p w:rsidR="006B0AC9" w:rsidRDefault="006B0AC9">
            <w:pPr>
              <w:pStyle w:val="ConsPlusNormal"/>
            </w:pPr>
            <w:r>
              <w:lastRenderedPageBreak/>
              <w:t>Минсельхоз России,</w:t>
            </w:r>
          </w:p>
          <w:p w:rsidR="006B0AC9" w:rsidRDefault="006B0AC9">
            <w:pPr>
              <w:pStyle w:val="ConsPlusNormal"/>
            </w:pPr>
            <w:r>
              <w:t>открытое акционерное общество "Российские железные дороги",</w:t>
            </w:r>
          </w:p>
          <w:p w:rsidR="006B0AC9" w:rsidRDefault="006B0AC9">
            <w:pPr>
              <w:pStyle w:val="ConsPlusNormal"/>
            </w:pPr>
            <w:r>
              <w:t>федеральное государственное унитарное предприятие "Почта России" и другие</w:t>
            </w: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--------------------------------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14" w:name="P678"/>
      <w:bookmarkEnd w:id="14"/>
      <w:r>
        <w:t>&lt;*&gt; С учетом синхронизации планов различных ведомств и организаций по развитию сети существующих центров, включая терминально-логистические центры - оптово-распределительные центры Минсельхоза России, производственно-логистические комплексы Минобороны России, логистические центры федерального государственного унитарного предприятия "Почта России", терминально-логистические центры открытого акционерного общества "Российские железные дороги" и другие.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3"/>
      </w:pPr>
      <w:r>
        <w:t>4.6. Федеральный проект "Коммуникации между центрами</w:t>
      </w:r>
    </w:p>
    <w:p w:rsidR="006B0AC9" w:rsidRDefault="006B0AC9">
      <w:pPr>
        <w:pStyle w:val="ConsPlusTitle"/>
        <w:jc w:val="center"/>
      </w:pPr>
      <w:r>
        <w:t>экономического роста"</w:t>
      </w:r>
    </w:p>
    <w:p w:rsidR="006B0AC9" w:rsidRDefault="006B0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3628"/>
        <w:gridCol w:w="1871"/>
        <w:gridCol w:w="3288"/>
      </w:tblGrid>
      <w:tr w:rsidR="006B0AC9"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Описание результата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Характеристика результата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1. Задача "Поэтапное развитие транспортных коммуникаций между административными центрами субъектов Российской Федерации и другими городами - центрами экономического роста"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сети скоростных автомобильных дорог, связывающих центры экономического роста с другими административными центрами субъектов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прирост сети скоростных автомобильных дорог составил 708 км, или 28 процентов к уровню 2018 года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председатель правления Государственной компании "Российские автомобильные дороги" Кельбах С.В.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Осуществлено строительство автомобильных дорог </w:t>
            </w:r>
            <w:r>
              <w:lastRenderedPageBreak/>
              <w:t>федерального значения, связывающих центры экономического роста с другими административными центрами субъектов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осуществлены строительство и реконструкция участков </w:t>
            </w:r>
            <w:r>
              <w:lastRenderedPageBreak/>
              <w:t>автомобильных дорог федерального значения общей протяженностью 958,8 км;</w:t>
            </w:r>
          </w:p>
          <w:p w:rsidR="006B0AC9" w:rsidRDefault="006B0AC9">
            <w:pPr>
              <w:pStyle w:val="ConsPlusNormal"/>
            </w:pPr>
            <w:r>
              <w:t xml:space="preserve">увеличена доля автомобильных дорог 1 категории в общей протяженности автомобильных дорог федерального значения (за исключением автомобильных дорог, относящихся к международному транспортному маршруту "Европа - Западный Китай") на 1,8 процента </w:t>
            </w:r>
            <w:hyperlink w:anchor="P76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2019 - 2023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Росавтодора Костюк А.А.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автодорожных обходов крупных городов на автомобильных дорогах регионального или межмуниципального значения (по поручениям Президента Российской Федерации и Правительства Российской Федерации)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2 автодорожных обходов крупных городов на автомобильных дорогах регионального или межмуниципального значения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высшие должностные лица субъектов Российской Федерации,</w:t>
            </w:r>
          </w:p>
          <w:p w:rsidR="006B0AC9" w:rsidRDefault="006B0AC9">
            <w:pPr>
              <w:pStyle w:val="ConsPlusNormal"/>
            </w:pPr>
            <w:r>
              <w:t>руководитель Росавтодора Костюк А.А.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автодорожных мостов на автомобильных дорогах регионального значения для обеспечения круглогодичной транспортной связи (по поручениям Президента Российской Федерации и Правительства Российской Федерации)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моста через р. Енисей в Красноярском крае у пос. Высокогорского, являющегося первым крупным инфраструктурным объектом в реализации проекта Ангаро-Енисейского кластера (промышленного развития Красноярского Приангарья)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2019 - 2023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высшие должностные лица субъектов Российской Федерации,</w:t>
            </w:r>
          </w:p>
          <w:p w:rsidR="006B0AC9" w:rsidRDefault="006B0AC9">
            <w:pPr>
              <w:pStyle w:val="ConsPlusNormal"/>
            </w:pPr>
            <w:r>
              <w:t>руководитель Росавтодора Костюк А.А.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по ликвидации одноуровневых пересечений автомобильных дорог регионального или межмуниципального, местного значения и железных дорог (в том числе по поручениям Президента Российской Федерации и Правительства Российской Федерации)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осуществлено строительство (реконструкция) 49 </w:t>
            </w:r>
            <w:hyperlink w:anchor="P767">
              <w:r>
                <w:rPr>
                  <w:color w:val="0000FF"/>
                </w:rPr>
                <w:t>&lt;*&gt;</w:t>
              </w:r>
            </w:hyperlink>
            <w:r>
              <w:t xml:space="preserve"> развязок на автомобильных и железных дорогах, в том числе на железнодорожных подходах к портам Азово-Черноморского бассейна, Байкало-Амурской и Транссибирской железнодорожных магистралях, на подходах к Московскому и Санкт-Петербургскому транспортным узлам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2020 - 2024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высшие должностные лица субъектов Российской Федерации,</w:t>
            </w:r>
          </w:p>
          <w:p w:rsidR="006B0AC9" w:rsidRDefault="006B0AC9">
            <w:pPr>
              <w:pStyle w:val="ConsPlusNormal"/>
            </w:pPr>
            <w:r>
              <w:t>руководитель Росавтодора Костюк А.А.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2. Задача "Ликвидация инфраструктурных ограничений на имеющих перспективы развития территориях, прилегающих к таким транспортным коммуникациям"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развитие дальних автодорожных подходов к Крымскому мосту (мероприятия по развитию автомобильной дороги А-289 Краснодар - Славянск-на-Кубани - Темрюк - автомобильная дорога А-290 Новороссийск - Керчь)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завершена реконструкция 136 км автомобильной дороги по параметрам скоростных дорог, сокращено время в пути от г. Краснодара до Крымского моста с 2 часов 40 минут до 1 часа 50 минут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Минэкономразвития России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12 автодорожных обходов крупных городов на автомобильных дорогах федерального значения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построены автодорожные обходы 12 городов, построено 395,6 км новых автомобильных дорог, снижена протяженность автомобильных дорог, обслуживающих движение в режиме перегрузки, на 249,8 км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Росавтодора Костюк А.А.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Осуществлены строительство и реконструкция 32 </w:t>
            </w:r>
            <w:r>
              <w:lastRenderedPageBreak/>
              <w:t>автодорожных мостов на автомобильных дорогах федерального значения для обеспечения круглогодичной транспортной связи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построены и реконструированы 32 неремонтопригодных мостовых </w:t>
            </w:r>
            <w:r>
              <w:lastRenderedPageBreak/>
              <w:t>сооружения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Росавтодора Костюк А.А.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Осуществлены мероприятия по ликвидации одноуровневых пересечений с железными дорогами на 21 участке автомобильных дорог федерального значения (без учета переходящих объектов)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уменьшен простой автомобильного транспорта на пересечениях федеральных автомобильных дорог и железных дорог на 122 часа в сутки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Росавтодора Костюк А.А.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Осуществлены строительство и реконструкция участков 6 автомобильных дорог федерального значения в целях ликвидации участков, работающих в режиме перегрузки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реконструировано 40 км автомобильных дорог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2019 - 2023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Росавтодора Костюк А.А.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по развитию Московского железнодорожного узла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пассажиропоток в пригородном сообщении Московского железнодорожного узла составил 850 млн. пассажиров в год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Росжелдора Чепец В.Ю.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вторых путей на участке Багерово - Владиславовка - Джанкой и электрификация на Феодосию с реконструкцией существующего однопутного участка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- </w:t>
            </w:r>
            <w:hyperlink w:anchor="P76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Росжелдора Чепец В.Ю.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2.8.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Осуществлена электрификация направления Ожерелье - Узловая - Елец (специализация под пассажирское движение)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оптимизированы эксплуатационные затраты за счет экономии топливно-энергетических ресурсов, сокращения стоимости ремонтов и технического обслуживания локомотивов, экономии затрат на содержании локомотивных бригад и сокращения простоев поездов под сменой тяги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Росжелдора Чепец В.Ю.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строительство и реконструкция автомобильной дороги Керчь - Феодосия - Белогорск - Симферополь - Бахчисарай - Севастополь (справочно)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увеличена доля </w:t>
            </w:r>
            <w:hyperlink w:anchor="P767">
              <w:r>
                <w:rPr>
                  <w:color w:val="0000FF"/>
                </w:rPr>
                <w:t>&lt;*&gt;</w:t>
              </w:r>
            </w:hyperlink>
            <w:r>
              <w:t xml:space="preserve"> автомобильных дорог 1 категории в общей протяженности автомобильных дорог регионального, межмуниципального и местного значения (за исключением автомобильных дорог, относящихся к международному транспортному маршруту "Европа - Западный Китай") (объем уточняется)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Минэкономразвития России,</w:t>
            </w:r>
          </w:p>
          <w:p w:rsidR="006B0AC9" w:rsidRDefault="006B0AC9">
            <w:pPr>
              <w:pStyle w:val="ConsPlusNormal"/>
            </w:pPr>
            <w:r>
              <w:t>высшие должностные лица субъектов</w:t>
            </w:r>
          </w:p>
          <w:p w:rsidR="006B0AC9" w:rsidRDefault="006B0AC9">
            <w:pPr>
              <w:pStyle w:val="ConsPlusNormal"/>
            </w:pPr>
            <w:r>
              <w:t>главы субъектов Российской Федерации</w:t>
            </w: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--------------------------------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15" w:name="P767"/>
      <w:bookmarkEnd w:id="15"/>
      <w:r>
        <w:t>&lt;*&gt; Подлежит уточнению.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3"/>
      </w:pPr>
      <w:r>
        <w:t>4.7. Федеральный проект "Развитие региональных аэропортов</w:t>
      </w:r>
    </w:p>
    <w:p w:rsidR="006B0AC9" w:rsidRDefault="006B0AC9">
      <w:pPr>
        <w:pStyle w:val="ConsPlusTitle"/>
        <w:jc w:val="center"/>
      </w:pPr>
      <w:r>
        <w:t>и маршрутов"</w:t>
      </w:r>
    </w:p>
    <w:p w:rsidR="006B0AC9" w:rsidRDefault="006B0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3628"/>
        <w:gridCol w:w="1871"/>
        <w:gridCol w:w="3288"/>
      </w:tblGrid>
      <w:tr w:rsidR="006B0AC9"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Описание результата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Характеристика результата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1. Задача "Реконструкция инфраструктуры региональных аэропортов"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Осуществлена реконструкция 68 объектов в 66 аэропортовых </w:t>
            </w:r>
            <w:r>
              <w:lastRenderedPageBreak/>
              <w:t>комплексах (в том числе в 48 объектах - реконструкция аэродромного комплекса, включающая реконструкцию (строительство) взлетно-посадочной полосы, в 20 объектах - реконструкция вспомогательных объектов аэропортовой инфраструктуры (рулежные дорожки, перроны, аварийно-спасательные станции, ограждения, патрульные дороги, ангары и др.), а также реконструкция 38 объектов на территории Дальневосточного федерального округа)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увеличена авиационная подвижность населения до 0,95 </w:t>
            </w:r>
            <w:r>
              <w:lastRenderedPageBreak/>
              <w:t>полета на 1 человека в год; доля аэродромов, обеспечивающих снятие инфраструктурных ограничений и повышение безопасности полетов, составила 100 процентов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Росавиации Нерадько А.В.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2. Задача "Расширение сети межрегиональных регулярных пассажирских авиационных маршрутов, минуя г. Москву, до 50 процентов от общего количества внутренних регулярных авиационных маршрутов"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субсидирование воздушных перевозок по перечню из 175 маршрутов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объем перевозок по маршрутам, минуя г. Москву, увеличился до 25,21 млн. пассажиров;</w:t>
            </w:r>
          </w:p>
          <w:p w:rsidR="006B0AC9" w:rsidRDefault="006B0AC9">
            <w:pPr>
              <w:pStyle w:val="ConsPlusNormal"/>
            </w:pPr>
            <w:r>
              <w:t>доля пассажиропотока по маршрутам, минуя г. Москву, в объеме внутренних перевозок увеличилась до 51,35 процента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Росавиации Нерадько А.В.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Осуществлено субсидирование лизинга воздушных судов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объем перевозок по маршрутам, минуя г. Москву, увеличился до 25,21 млн. пассажиров;</w:t>
            </w:r>
          </w:p>
          <w:p w:rsidR="006B0AC9" w:rsidRDefault="006B0AC9">
            <w:pPr>
              <w:pStyle w:val="ConsPlusNormal"/>
            </w:pPr>
            <w:r>
              <w:t xml:space="preserve">доля пассажиропотока по маршрутам, минуя г. Москву, в </w:t>
            </w:r>
            <w:r>
              <w:lastRenderedPageBreak/>
              <w:t>объеме внутренних перевозок увеличилась до 51,35 процента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Росавиации Нерадько А.В.</w:t>
            </w: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3"/>
      </w:pPr>
      <w:r>
        <w:t>4.8. Федеральный проект "Высокоскоростное</w:t>
      </w:r>
    </w:p>
    <w:p w:rsidR="006B0AC9" w:rsidRDefault="006B0AC9">
      <w:pPr>
        <w:pStyle w:val="ConsPlusTitle"/>
        <w:jc w:val="center"/>
      </w:pPr>
      <w:r>
        <w:t>железнодорожное сообщение"</w:t>
      </w:r>
    </w:p>
    <w:p w:rsidR="006B0AC9" w:rsidRDefault="006B0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3628"/>
        <w:gridCol w:w="1871"/>
        <w:gridCol w:w="3288"/>
      </w:tblGrid>
      <w:tr w:rsidR="006B0AC9"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Описание результата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Характеристика результата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Задача "Создание основы для развития скоростного и высокоскоростного железнодорожного сообщения между крупными городами"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Выполнены работы по строительству первого этапа высокоскоростной магистрали Москва - Казань:</w:t>
            </w:r>
          </w:p>
          <w:p w:rsidR="006B0AC9" w:rsidRDefault="006B0AC9">
            <w:pPr>
              <w:pStyle w:val="ConsPlusNormal"/>
            </w:pPr>
            <w:r>
              <w:t xml:space="preserve">высокоскоростная магистраль Железнодорожный - Гороховец, с организацией движения от г. Москвы до г. Нижний Новгород </w:t>
            </w:r>
            <w:hyperlink w:anchor="P81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100 процентов центров экономического роста связаны скоростными транспортными коммуникациями;</w:t>
            </w:r>
          </w:p>
          <w:p w:rsidR="006B0AC9" w:rsidRDefault="006B0AC9">
            <w:pPr>
              <w:pStyle w:val="ConsPlusNormal"/>
            </w:pPr>
            <w:r>
              <w:t>протяженность участка высокоскоростной магистрали, введенного в эксплуатацию, составила 301 км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руководитель Росжелдора Чепец В.Ю.</w:t>
            </w: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--------------------------------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16" w:name="P813"/>
      <w:bookmarkEnd w:id="16"/>
      <w:r>
        <w:t>&lt;*&gt; При дополнительном финансовом обеспечении планируется строительство высокоскоростной магистрали до г. Казани; объекты реализуются с сохранением права открытого акционерного общества "Российские железные дороги" распоряжаться чистой прибылью, полученной в период реализации плана, без выплаты дивидендов по обыкновенным акциям.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3"/>
      </w:pPr>
      <w:r>
        <w:t>4.9. Федеральный проект "Внутренние водные пути"</w:t>
      </w:r>
    </w:p>
    <w:p w:rsidR="006B0AC9" w:rsidRDefault="006B0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3628"/>
        <w:gridCol w:w="1871"/>
        <w:gridCol w:w="3288"/>
      </w:tblGrid>
      <w:tr w:rsidR="006B0AC9"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Описание результата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Характеристика результата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Задача "Увеличение пропускной способности внутренних водных путей"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Увеличена пропускная способность внутренних водных путей на 14,3 млн. тонн за счет обеспечения нормативного содержания внутренних водных путей и судоходных гидротехнических сооружений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сокращена протяженность участков внутренних водных путей, ограничивающих их пропускную способность, на 8 тыс. км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Увеличена пропускная способность внутренних водных путей на 19 млн. тонн за счет строительства Багаевского гидроузла на р. 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сокращена протяженность участков внутренних водных путей, ограничивающих их пропускную способность, на 0,6 тыс. км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Увеличена пропускная способность внутренних водных путей на 36,6 млн. тонн за счет строительства Нижегородского низконапорного гидроузла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сокращена протяженность участков внутренних водных путей, ограничивающих их пропускную способность, на 2,7 тыс. км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2018 - 2021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Обеспечена существующая пропускная способность внутренних водных путей за счет реализации комплексного проекта реконструкции объектов инфраструктуры канала имени Москвы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пропускная способность внутренних водных путей обеспечивает возможный грузопоток в объеме 25 млн. тонн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Обеспечена существующая пропускная способность внутренних водных путей за счет обновления обслуживающего флота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пропускная способность внутренних водных путей обеспечивает возможный грузопоток в объеме 149 млн. тонн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2018 - 2024 годы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транспорта Российской Федерации - руководитель Росморречфлота Цветков Ю.А.</w:t>
            </w: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2"/>
      </w:pPr>
      <w:r>
        <w:lastRenderedPageBreak/>
        <w:t>5. Финансовое обеспечение транспортной части плана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jc w:val="right"/>
      </w:pPr>
      <w:r>
        <w:t>(млн. рублей)</w:t>
      </w:r>
    </w:p>
    <w:p w:rsidR="006B0AC9" w:rsidRDefault="006B0AC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4082"/>
        <w:gridCol w:w="1264"/>
        <w:gridCol w:w="1264"/>
        <w:gridCol w:w="1384"/>
        <w:gridCol w:w="1384"/>
        <w:gridCol w:w="1384"/>
        <w:gridCol w:w="1264"/>
        <w:gridCol w:w="1384"/>
      </w:tblGrid>
      <w:tr w:rsidR="006B0AC9">
        <w:tc>
          <w:tcPr>
            <w:tcW w:w="48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Результат и источники финансирования</w:t>
            </w:r>
          </w:p>
        </w:tc>
        <w:tc>
          <w:tcPr>
            <w:tcW w:w="79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Объем финансового обеспечения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 - всего</w:t>
            </w:r>
          </w:p>
        </w:tc>
      </w:tr>
      <w:tr w:rsidR="006B0AC9">
        <w:tc>
          <w:tcPr>
            <w:tcW w:w="48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проект "Европа - Западный Китай" - всего</w:t>
            </w:r>
          </w:p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8970,4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47825,029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96011,384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212560,691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185670,653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104019,664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655057,821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4688,034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13245,705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28031,23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137594,079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129422,393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77441,154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390422,595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предусмотрено (прогнозные предельные объемы)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2056,65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10622,841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18176,43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20534,979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15964,228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67355,127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2631,384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2622,864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117059,1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113458,166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77441,154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323067,468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4282,366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34579,324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67980,154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74966,612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56248,26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26578,51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264635,225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проект "Морские порты России" - всего</w:t>
            </w:r>
          </w:p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137970,21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216350,608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238526,035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166116,244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102871,463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65226,413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927060,973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34916,6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37282,914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66234,387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36387,351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35778,843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25685,293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236285,388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предусмотрено (прогнозные предельные объемы)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30113,914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51286,387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12935,351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13082,843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9029,293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136631,388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14733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7169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14948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23452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22696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16656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99654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103053,61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179067,694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172291,648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129728,893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67092,62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39541,12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690775,585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проект "Северный морской путь" - всего</w:t>
            </w:r>
          </w:p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49549,507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114904,736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142155,416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145554,366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69151,766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66135,566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587451,356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30917,229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37592,84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49344,819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49973,299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48243,299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49813,299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265884,785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предусмотрено (прогнозные предельные объемы)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25800,756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24896,756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19871,256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571,259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2461,259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3461,259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77062,545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5116,473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12696,084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29473,563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49402,04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45782,04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46352,04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188822,24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18632,278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77311,896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92810,597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95581,067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20908,467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16322,267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321566,571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проект "Железнодорожный транспорт и транзит" - всего</w:t>
            </w:r>
          </w:p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114602,994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203461,105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218125,858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282114,2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375446,8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59741,7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1253492,657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9801,194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14456,305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11052,058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37309,557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4.1.1.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 xml:space="preserve">предусмотрено (прогнозные </w:t>
            </w:r>
            <w:r>
              <w:lastRenderedPageBreak/>
              <w:t>предельные объемы)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9801,194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14456,305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7990,696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32248,195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4.1.2.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3061,363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5061,363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104801,8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189004,8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207073,8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280114,2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375446,8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59741,7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1216183,1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проект "Транспортно-логистические центры" - всего</w:t>
            </w:r>
          </w:p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5100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3790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10400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12060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12130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45850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4600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3660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9960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5.1.1.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предусмотрено (прогнозные предельные объемы)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5.1.2.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4600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3660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9960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5800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8400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11300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35890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проект "Коммуникации между центрами экономического роста" - всего</w:t>
            </w:r>
          </w:p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328294,1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226634,199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219694,874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286001,801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323690,839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329182,573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1713498,384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198516,8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169594,899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173454,274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248508,101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301256,839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286982,573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1378313,484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6.1.1.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предусмотрено (прогнозные предельные объемы)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188938,21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159315,403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131483,7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152894,483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167247,986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177806,309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977686,091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6.1.2.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9578,59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10279,496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41970,574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95613,618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134008,853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109176,264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400627,394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8110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17499,25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20188,33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16699,935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11795,124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76072,639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6.2.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29896,8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16704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7275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4800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58675,8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99880,5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40335,3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38965,6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32693,7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22434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42200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276509,1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проект "Развитие региональных аэропортов и маршрутов" - всего</w:t>
            </w:r>
          </w:p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38817,008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39573,613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43524,744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57050,245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44190,045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44302,445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267458,098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31184,608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30421,413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36479,244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50064,745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42698,445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43102,445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233950,898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7.1.1.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предусмотрено (прогнозные предельные объемы)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15777,555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13280,857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14461,821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14214,703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14214,703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14181,103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86130,74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1658,33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2858,33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7.1.2.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15407,053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17140,556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22017,423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35850,042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28483,742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28921,342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147820,158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1622,843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2401,539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3504,5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12828,882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консолидированные бюджеты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7632,4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9152,2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7045,5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6985,5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1491,6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33507,2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проект "Высокоскоростное железнодорожное сообщение" - всего</w:t>
            </w:r>
          </w:p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43302,999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74081,999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133088,999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159000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129029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83307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621809,996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87,999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87,999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87,999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70000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70000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60000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200263,996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8.1.1.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предусмотрено (прогнозные предельные объемы)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87,999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87,999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87,999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263,996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8.1.2.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70000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70000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60000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200000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43215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73994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133001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89000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59029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23307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421546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проект "Внутренние водные пути" - всего</w:t>
            </w:r>
          </w:p>
          <w:p w:rsidR="006B0AC9" w:rsidRDefault="006B0AC9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38202,875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45748,269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38709,844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46000,628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52397,011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55323,561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C9" w:rsidRDefault="006B0AC9">
            <w:pPr>
              <w:pStyle w:val="ConsPlusNormal"/>
              <w:jc w:val="center"/>
            </w:pPr>
            <w:r>
              <w:t>276382,188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38202,875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45748,269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38709,844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46000,628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52397,011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55323,561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276382,188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9.1.1.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предусмотрено (прогнозные предельные объемы)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27202,875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34682,169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28075,566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35377,428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36385,811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36700,361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198424,21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9.1.2.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11066,1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10634,278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10623,2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16011,2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18623,2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77957,978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 транспортной части плана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764810,091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970949,557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1133627,154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1364798,175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1294507,576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819368,921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6348061,474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348315,338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348760,343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403933,855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645128,203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683456,83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599178,324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3028772,892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 xml:space="preserve">предусмотрено (прогнозные предельные </w:t>
            </w:r>
            <w:r>
              <w:lastRenderedPageBreak/>
              <w:t>объемы)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289848,838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287456,243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271433,855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236528,203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249356,83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241178,324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1575802,292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1658,33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2858,33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 - всего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58466,5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61304,1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132500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408600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434100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358000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1452970,6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9732,843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19900,789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23692,830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19699,935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14095,124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88901,521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29896,8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16704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7275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4800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58675,8</w:t>
            </w:r>
          </w:p>
        </w:tc>
      </w:tr>
      <w:tr w:rsidR="006B0AC9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386597,953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605485,214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722418,299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714869,972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611050,746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220190,597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3260612,781</w:t>
            </w:r>
          </w:p>
        </w:tc>
      </w:tr>
    </w:tbl>
    <w:p w:rsidR="006B0AC9" w:rsidRDefault="006B0AC9">
      <w:pPr>
        <w:pStyle w:val="ConsPlusNormal"/>
        <w:sectPr w:rsidR="006B0AC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2"/>
      </w:pPr>
      <w:r>
        <w:t>6. Дополнительная информация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Реализация транспортной части плана будет способствовать достижению следующих результатов: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повышение "Индекса качества транспортной инфраструктуры" на 15,5 процента за 6 лет (по отношению к базовому уровню 2017 года). Индекс качества транспортной инфраструктуры - комплексный показатель, который рассчитывается как средневзвешенное значение индексов качества транспортной инфраструктуры по отдельным видам транспорта по объему транспортной работы по отношению к базовому уровню. Индекс отражает увеличение пропускной способности и улучшение качественных параметров магистральной транспортной инфраструктуры (по видам транспорта), повышение доступности транспортных услуг для населения и бизнеса, а также отражает степень решения задачи по устранению инфраструктурных ограничений в рамках долгосрочного экономического развития страны;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рост объемов экспорта транспортных услуг с 16,9 до 25 млрд. долларов США за 6 лет (по отношению к базовому уровню 2017 года);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место Российской Федерации в рейтинге стран по индексу эффективности грузовой логистики (Logistics Performance Index) к 2024 году не ниже 50-го (аналитический показатель);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рост транспортной подвижности населения на транспорте общего пользования с 8,2 тыс. пассажиро-километров на 1 человека в год в 2017 году до 9,5 тыс. пассажиро-километров на 1 человека в год в 2024 году. Прогнозируемый рост такого социального блага, как свобода передвижения, отвечает законным интересам населения и будет способствовать повышению качества жизни населения;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обеспечение связи 100 процентов центров экономического роста скоростными транспортными коммуникациями (дополнительный показатель);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повышение уровня транспортной обеспеченности субъектов Российской Федерации на 7,7 процента (по отношению к базовому уровню 2017 года).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В системе управления реализацией транспортной части плана планируется использование технологии информационного моделирования (Building Information Modeling) (далее - BIM). Коллективное создание и использование информации об объектах транспортной инфраструктуры посредством BIM позволит сформировать надежную основу для принятия решений на любой стадии проекта (от ранних концепций до эксплуатации).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 xml:space="preserve">Транспортную часть плана предлагается реализовывать во взаимосвязи с ведомственным проектом Минтранса России "Цифровой транспорт и логистика" в составе национальной </w:t>
      </w:r>
      <w:hyperlink r:id="rId35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Ведомственный проект Минтранса России "Цифровой транспорт и логистика":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предъявляет требования к качественно новому уровню бизнес-процессов управления транспортной системой, основанной на интеграции существующих информационных ресурсов государственного и частного секторов экономики, а также к интеграции этих ресурсов в мировую транспортную систему;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позволит обеспечить цифровое взаимодействие хозяйствующих субъектов транспортной отрасли, органов государственной власти и граждан на основе внедрения цифровых сервисов разработанных платформенных решений, ускорить интеграцию в мировое транспортное пространство для развития экспорта транспортных услуг.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lastRenderedPageBreak/>
        <w:t>Приоритетом при реализации транспортной части плана является инновационное преобразование отрасли инфраструктурного строительства, в целях которого предполагается внедрение и широкое применение: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передовых цифровых технологий;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передовых технологий проектного управления;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передовых технологий реализации проектов на всех стадиях жизненного цикла и контроль за обеспечением его качественных показателей.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К основным сквозным технологиям работы с данными в транспортном комплексе, планируемым к применению в рамках реализации транспортной части плана, относятся: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геоинформационные технологии и высокоточная навигация с применением автоматизированного зависимого наблюдения;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технологии информационного проектирования и моделирования (BIM);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цифровые двойники - виртуальные образы транспортных средств и объектов транспортной инфраструктуры, в том числе для управления их жизненным циклом;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технологии самоисполняемых кодов выполнения обязательств ("смарт"-контракты);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интеллектуальный анализ данных, включая обработку больших данных ("Big data"), параллельные вычисления, системы реального времени;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управление распределенными базами данных;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технологии ведения распределенных реестров учета и удостоверения прав (blockchain);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биометрическая идентификация и аутентификация;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технологии распределенных вычислений и взаимодействия ("облачные" и "туманные" вычисления);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автоматизированная обработка "естественных" языков;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другие цифровые технологии.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Ряд мероприятий транспортной части плана реализуется как государственными (с долей государственного участия), так и частными компаниями, при этом финансовое обеспечение мероприятий характеризуется высокой долей внебюджетных источников. Достижение ряда задач транспортной части плана будет зависеть от финансового состояния частных компаний. В связи с этим необходима организация постоянного и регламентированного взаимодействия не только ведомств, но и частных компаний. Постоянный мониторинг хода реализации транспортной части плана с участием всех заинтересованных сторон позволит предотвратить отклонения от плановых значений.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Заявленные целевые ориентиры по федеральному проекту "Морские порты России" значительно зависят от выполнения инвесторами своих обязательств. Строительство нового арктического ледокольного флота в основном предусмотрено за счет внебюджетных средств Государственной корпорации по атомной энергии "Росатом".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 xml:space="preserve">Решение задач по увеличению скорости перевозки контейнеров железнодорожным транспортом, в частности, с Дальнего Востока до западной границы Российской Федерации, до 7 дней, объема транзита контейнеров железнодорожным транспортом в 4 раза и пропускной </w:t>
      </w:r>
      <w:r>
        <w:lastRenderedPageBreak/>
        <w:t>способности Байкало-Амурской и Транссибирской железнодорожных магистралей в 1,5 раза, или до 180 млн. тонн, предусматривается полностью за счет средств открытого акционерного общества "Российские железные дороги".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При реализации федерального проекта "Транспортно-логистические центры" предстоит рассмотреть вопрос комплексного подхода к размещению транспортно-логистических центров с учетом заинтересованных сторон (Минсельхоза России, федерального государственного унитарного предприятия "Почта России", Минпромторга России, Минобороны России, а также частных компаний), что позволит оптимизировать расходы на инфраструктуру, эффективно использовать земельные участки, а также сократить время на обработку грузов, в том числе за счет наиболее оптимального расположения транспортно-логистических центров.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Наибольших социально-экономических эффектов федерального проекта "Развитие региональных аэропортов и маршрутов" позволят достичь мероприятия по субсидированию региональных авиаперевозок, субсидированию лизинга воздушных судов, которые в первую очередь (помимо безопасности) направлены на возможность привлечения новых маршрутов и направлений.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По вопросу создания основы для развития скоростного и высокоскоростного железнодорожного сообщения между крупными городами необходимо проведение дополнительных оценок в части определения наиболее эффективных участков реализации проекта и возможной маршрутной скорости.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В рамках системы реализации транспортной части плана сформированы предложения по оценке рисков реализации проектов и предложения по управлению такими рисками.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Ключевыми рисками по источнику их возникновения являются следующие: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макроэкономические риски;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государственное регулирование;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рыночные риски;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налоговые риски;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технологические (внешние) риски.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К макроэкономическим рискам относятся: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ухудшение макроэкономической ситуации в Российской Федерации и влияние на грузовую базу проектов, в том числе за счет ужесточения мер экономического воздействия со стороны иностранных государств;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опережающий прогноз роста инфляции и цен на потребляемую продукцию, в том числе дизельное топливо и электроэнергию.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Мероприятиями по снижению рисков являются: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постоянное взаимодействие с государственными органами государственной власти и основными потребителями услуг, с полным и объективным информированием их о потенциальных негативных последствиях принимаемых решений;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реализация комплекса мер по повышению эффективности и долгосрочные договоры с поставщиками.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К рискам в отношении государственного регулирования относятся: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lastRenderedPageBreak/>
        <w:t>отсутствие (невыполнение) долгосрочных государственных решений в части финансирования мероприятий;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возникновение бюджетного дефицита, сокращение объемов финансирования мероприятий, в том числе вследствие получения объема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в размере ниже прогнозируемого при разработке транспортной части плана;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изменение государственного регулирования (поддержки) видов транспорта;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отставание развития нормативно-правовой базы от технологического развития, включая несвоевременное принятие нормативных правовых актов, которые будут сдерживать реализацию мероприятий по развитию транспортной инфраструктуры, в первую очередь в части землепользования;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снижение качества выполняемых работ в связи с сокращением положительных эффектов от масштабов выполняемых работ в результате исполнения требований антимонопольных органов о разукрупнении лотов при проведении торгов.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Мероприятиями по снижению рисков являются: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поиск альтернативных механизмов финансирования;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оптимизация технических решений по капитальным проектам;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разделение проектов на этапы и их реализация в приоритизированном порядке.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К рыночным рискам относятся: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существенное изменение объемов грузовой базы и ее структуры относительно прогнозируемых значений в результате волатильности рынков;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риск ухудшения социально-экономической ситуации в Российской Федерации, что окажет влияние на снижение темпов роста экономики и уровня инвестиционной активности;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повышение цен на дорожно-строительные материалы;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повышение стоимости дорожной техники, закупаемой за пределами Российской Федерации и не имеющей произведенных в Российской Федерации аналогов, в связи с возможными колебаниями на рынке валют;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вовлеченность в реализацию проектов большого числа разнородных участников, сложность межведомственного взаимодействия, сложность взаимодействия с участниками проекта, которые не являются органами власти (общественными организациями, юридическими лицами);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превышение стоимости строительства объектов над сметной стоимостью по причинам, связанным с действиями подрядчика, повышением цен на строительные материалы, а также стоимости техники, закупаемой за пределами Российской Федерации и не имеющей произведенных в Российской Федерации аналогов, в связи с возможными колебаниями на рынке валют;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рост стоимости заемных средств.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Мероприятиями по снижению рисков являются: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повышение рыночной гибкости и расширение бизнеса в дерегулированных сегментах;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lastRenderedPageBreak/>
        <w:t>развитие логистических возможностей для удовлетворения потребностей клиентов в комплексных услугах.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К налоговым рискам относятся: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увеличение налоговой нагрузки вследствие ужесточения налоговой политики Российской Федерации в условиях нестабильной социально-экономической ситуации;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изменение объемов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в результате внесения изменений в налоговое законодательство Российской Федерации.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Мероприятием по снижению рисков является постоянное взаимодействие с федеральными и региональными органами власти в области налоговой политики.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К технологическим (внешним) рискам относятся: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отставание ликвидации ограничений смежных видов транспорта (мощностей портов, складских терминалов) от реализации инвестиционной программы открытого акционерного общества "Российские железные дороги";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разрыв между темпами автомобилизации и темпами развития улично-дорожной сети;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негативные природные факторы и катастрофы.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Мероприятия по снижению рисков осуществляются через постоянное взаимодействие с компаниями смежных видов транспорта для синхронизации планов реализации инвестиционных программ, а также через корректировку сроков реализации собственной инвестиционной программы в случае необходимости.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Сформирована матрица рисков, отражающая чувствительность ключевых параметров проектов в зависимости от изменения внешних факторов (инфляция, валютный курс, рост процентных ставок). Так, наибольшее влияние на объем инвестиционных проектов оказывает снижение грузовой базы. Не менее существенными факторами являются рост инфляции и ценовое давление.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Существенное влияние на возможности по реализации федеральных проектов транспортной части плана оказывает также стоимость заемных средств.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1"/>
      </w:pPr>
      <w:r>
        <w:t>Раздел II. Энергетическая инфраструктура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2"/>
      </w:pPr>
      <w:r>
        <w:t>1. Основные положения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Краткое наименование раздела - энергетическая часть плана.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Куратором реализации энергетической части плана является Заместитель Председателя Правительства Российской Федерации Новак А.В.</w:t>
      </w:r>
    </w:p>
    <w:p w:rsidR="006B0AC9" w:rsidRDefault="006B0AC9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распоряжения</w:t>
        </w:r>
      </w:hyperlink>
      <w:r>
        <w:t xml:space="preserve"> Правительства РФ от 20.02.2021 N 430-р)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Руководителем реализации энергетической части плана является Министр энергетики Российской Федерации Шульгинов Н.Г.</w:t>
      </w:r>
    </w:p>
    <w:p w:rsidR="006B0AC9" w:rsidRDefault="006B0AC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распоряжения</w:t>
        </w:r>
      </w:hyperlink>
      <w:r>
        <w:t xml:space="preserve"> Правительства РФ от 20.02.2021 N 430-р)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Администратором реализации энергетической части плана является заместитель Министра энергетики Российской Федерации Грабчак Е.П.</w:t>
      </w:r>
    </w:p>
    <w:p w:rsidR="006B0AC9" w:rsidRDefault="006B0AC9">
      <w:pPr>
        <w:pStyle w:val="ConsPlusNormal"/>
        <w:jc w:val="both"/>
      </w:pPr>
      <w:r>
        <w:lastRenderedPageBreak/>
        <w:t xml:space="preserve">(в ред. </w:t>
      </w:r>
      <w:hyperlink r:id="rId38">
        <w:r>
          <w:rPr>
            <w:color w:val="0000FF"/>
          </w:rPr>
          <w:t>распоряжения</w:t>
        </w:r>
      </w:hyperlink>
      <w:r>
        <w:t xml:space="preserve"> Правительства РФ от 13.04.2022 N 855-р)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2"/>
      </w:pPr>
      <w:r>
        <w:t>2. Цели, целевые и дополнительные показатели энергетической</w:t>
      </w:r>
    </w:p>
    <w:p w:rsidR="006B0AC9" w:rsidRDefault="006B0AC9">
      <w:pPr>
        <w:pStyle w:val="ConsPlusTitle"/>
        <w:jc w:val="center"/>
      </w:pPr>
      <w:r>
        <w:t>части плана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sectPr w:rsidR="006B0AC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3112"/>
        <w:gridCol w:w="1982"/>
        <w:gridCol w:w="1283"/>
        <w:gridCol w:w="1430"/>
        <w:gridCol w:w="1092"/>
        <w:gridCol w:w="1107"/>
        <w:gridCol w:w="1089"/>
        <w:gridCol w:w="1092"/>
        <w:gridCol w:w="1100"/>
        <w:gridCol w:w="1100"/>
        <w:gridCol w:w="1102"/>
      </w:tblGrid>
      <w:tr w:rsidR="006B0AC9">
        <w:tc>
          <w:tcPr>
            <w:tcW w:w="374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Цель, дополнительный показатель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Уровень контроля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788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Период</w:t>
            </w:r>
          </w:p>
        </w:tc>
      </w:tr>
      <w:tr w:rsidR="006B0AC9"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2024 год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38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3"/>
            </w:pPr>
            <w:r>
              <w:t>Гарантированное обеспечение доступной электроэнергией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Минимальный прирост потребления электрической энергии в централизованных энергосистемах (нарастающим итогом), процентов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3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 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20.02.2021 N 430-р)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Исключен. - </w:t>
            </w:r>
            <w:hyperlink r:id="rId4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18.05.2023 N 1288-р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Объем отобранных по результатам конкурентного отбора проектов модернизации генерирующих объектов тепловых электростанций на территориях ценовых зон оптового рынка генерирующих мощностей, МВт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сентября 2020 г.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10393,1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4000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3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3 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Объем ввода генерирующих мощностей, построенных (модернизированных) с применением нового механизма конкурсного отбора инвестиционных проектов на базе долгосрочного рынка </w:t>
            </w:r>
            <w:r>
              <w:lastRenderedPageBreak/>
              <w:t>мощности, МВт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Правительственная комиссия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сентября 2020 г.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2302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3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4 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Количество субъектов Российской Федерации, управление электросетевым хозяйством в которых осуществляется с применением интеллектуальных систем управления (нарастающим итогом с 2019 года)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37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3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5 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8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Исключен. - </w:t>
            </w:r>
            <w:hyperlink r:id="rId4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18.05.2023 N 1288-р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Мощность введенных в эксплуатацию (модернизированных) объектов генерации в удаленных и изолированных энергорайонах Российской Федерации, включая Арктическую зону, в том числе на основе возобновляемых источников энергии, МВт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106,9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110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3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7 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Удельный расход топлива на отпуск электрической энергии, г.у.т./кВт·ч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Правительственная комиссия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 декабря 2017 г.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309,8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299,7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313,09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313,08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313,07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3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18.05.2023 N 1288-р)</w:t>
            </w: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2"/>
      </w:pPr>
      <w:r>
        <w:t>3. Структура энергетической части плана</w:t>
      </w:r>
    </w:p>
    <w:p w:rsidR="006B0AC9" w:rsidRDefault="006B0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041"/>
        <w:gridCol w:w="2551"/>
        <w:gridCol w:w="3751"/>
      </w:tblGrid>
      <w:tr w:rsidR="006B0AC9"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Наименование федерального проекта </w:t>
            </w:r>
            <w:hyperlink w:anchor="P197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Куратор федерального проекта</w:t>
            </w:r>
          </w:p>
        </w:tc>
        <w:tc>
          <w:tcPr>
            <w:tcW w:w="37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Руководитель федерального проекта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Гарантированное обеспечение доступной электроэнергией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 октября 2018 г. - 31 декабря 2024 г.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Председателя Правительства Российской Федерации Новак А.В.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Министр энергетики Российской Федерации Шульгинов Н.Г.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1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47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48">
              <w:r>
                <w:rPr>
                  <w:color w:val="0000FF"/>
                </w:rPr>
                <w:t>N 430-р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13.04.2022 </w:t>
            </w:r>
            <w:hyperlink r:id="rId49">
              <w:r>
                <w:rPr>
                  <w:color w:val="0000FF"/>
                </w:rPr>
                <w:t>N 855-р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1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13.04.2022 N 855-р</w:t>
            </w:r>
          </w:p>
        </w:tc>
      </w:tr>
    </w:tbl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--------------------------------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17" w:name="P1977"/>
      <w:bookmarkEnd w:id="17"/>
      <w:r>
        <w:t xml:space="preserve">&lt;*&gt; Соответствует целям, поставленным в </w:t>
      </w:r>
      <w:hyperlink r:id="rId51">
        <w:r>
          <w:rPr>
            <w:color w:val="0000FF"/>
          </w:rPr>
          <w:t>подпункте "в" пункта 15</w:t>
        </w:r>
      </w:hyperlink>
      <w:r>
        <w:t xml:space="preserve"> Указа Президента Российской Федерации от 7 мая 2018 г. N 204 "О национальных целях и стратегических задачах развития Российской Федерации на период до 2024 года".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2"/>
      </w:pPr>
      <w:r>
        <w:t>4. Задачи и результаты энергетической части плана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3"/>
      </w:pPr>
      <w:r>
        <w:t>4.1. Федеральный проект "Гарантированное обеспечение</w:t>
      </w:r>
    </w:p>
    <w:p w:rsidR="006B0AC9" w:rsidRDefault="006B0AC9">
      <w:pPr>
        <w:pStyle w:val="ConsPlusTitle"/>
        <w:jc w:val="center"/>
      </w:pPr>
      <w:r>
        <w:t>доступной электроэнергией"</w:t>
      </w:r>
    </w:p>
    <w:p w:rsidR="006B0AC9" w:rsidRDefault="006B0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14"/>
        <w:gridCol w:w="3288"/>
        <w:gridCol w:w="3969"/>
        <w:gridCol w:w="1984"/>
        <w:gridCol w:w="3572"/>
      </w:tblGrid>
      <w:tr w:rsidR="006B0AC9"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Описание результата </w:t>
            </w:r>
            <w:hyperlink w:anchor="P271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Характеристика результата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Срок реализации </w:t>
            </w:r>
            <w:hyperlink w:anchor="P271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1. Задача "Развитие централизованных энергосистем, включая модернизацию генерирующих мощностей в соответствии с потребностями социально-экономического развития"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Разработаны и утверждены документы перспективного развития электроэнергетики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утверждены генеральная схема размещения объектов электроэнергетики до 2040 года, схема и программа развития ЕЭС России (ежегодно), схемы и программы развития электроэнергетики субъектов Российской Федерации (ежегодно)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высшие должностные лица субъектов Российской Федерации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52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53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Усовершенствована система перспективного планирования в электроэнергетике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обеспечено совершенствование системы перспективного планирования в электроэнергетике, в рамках которой:</w:t>
            </w:r>
          </w:p>
          <w:p w:rsidR="006B0AC9" w:rsidRDefault="006B0AC9">
            <w:pPr>
              <w:pStyle w:val="ConsPlusNormal"/>
            </w:pPr>
            <w:r>
              <w:t>создан институт генерального проектировщика документов перспективного развития электроэнергетики;</w:t>
            </w:r>
          </w:p>
          <w:p w:rsidR="006B0AC9" w:rsidRDefault="006B0AC9">
            <w:pPr>
              <w:pStyle w:val="ConsPlusNormal"/>
            </w:pPr>
            <w:r>
              <w:t>утверждены требования к проектировщикам документов перспективного развития электроэнергетики;</w:t>
            </w:r>
          </w:p>
          <w:p w:rsidR="006B0AC9" w:rsidRDefault="006B0AC9">
            <w:pPr>
              <w:pStyle w:val="ConsPlusNormal"/>
            </w:pPr>
            <w:r>
              <w:t xml:space="preserve">внесены изменения в </w:t>
            </w:r>
            <w:hyperlink r:id="rId54">
              <w:r>
                <w:rPr>
                  <w:color w:val="0000FF"/>
                </w:rPr>
                <w:t>Правила</w:t>
              </w:r>
            </w:hyperlink>
            <w:r>
              <w:t xml:space="preserve"> разработки и утверждения схем и программ перспективного развития электроэнергетики, утвержденные постановлением Правительства Российской Федерации от 17 октября 2009 г. N 823 "О схемах и программах перспективного развития электроэнергетики";</w:t>
            </w:r>
          </w:p>
          <w:p w:rsidR="006B0AC9" w:rsidRDefault="006B0AC9">
            <w:pPr>
              <w:pStyle w:val="ConsPlusNormal"/>
            </w:pPr>
            <w:r>
              <w:t xml:space="preserve">разработаны и актуализированы ведомственные нормативные правовые акты, направленные на совершенствование методической базы </w:t>
            </w:r>
            <w:r>
              <w:lastRenderedPageBreak/>
              <w:t>перспективного планирования в электроэнергетике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2019 - 2022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55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56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Внедрен новый механизм конкурсного отбора инвестиционных проектов на базе долгосрочного рынка мощности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обеспечено функционирование механизма модернизации существующего парка генерирующих мощностей тепловых электрических станций, в рамках которого:</w:t>
            </w:r>
          </w:p>
          <w:p w:rsidR="006B0AC9" w:rsidRDefault="006B0AC9">
            <w:pPr>
              <w:pStyle w:val="ConsPlusNormal"/>
            </w:pPr>
            <w:r>
              <w:t>внедрены современные прогрессивные и привлекательные для российских и зарубежных стратегических инвесторов механизмы финансирования модернизации объектов по производству электрической энергии в рамках действующих механизмов конкурентного рынка мощности на оптовом рынке электрической энергии и мощности;</w:t>
            </w:r>
          </w:p>
          <w:p w:rsidR="006B0AC9" w:rsidRDefault="006B0AC9">
            <w:pPr>
              <w:pStyle w:val="ConsPlusNormal"/>
            </w:pPr>
            <w:r>
              <w:t>начата программа технического перевооружения российской тепловой генерации;</w:t>
            </w:r>
          </w:p>
          <w:p w:rsidR="006B0AC9" w:rsidRDefault="006B0AC9">
            <w:pPr>
              <w:pStyle w:val="ConsPlusNormal"/>
            </w:pPr>
            <w:r>
              <w:t>обеспечен прорыв в развитии инжинирингово-сервисной сферы;</w:t>
            </w:r>
          </w:p>
          <w:p w:rsidR="006B0AC9" w:rsidRDefault="006B0AC9">
            <w:pPr>
              <w:pStyle w:val="ConsPlusNormal"/>
            </w:pPr>
            <w:r>
              <w:t>обеспечен в долгосрочной перспективе портфель заказов энергомашиностроительной отрасли;</w:t>
            </w:r>
          </w:p>
          <w:p w:rsidR="006B0AC9" w:rsidRDefault="006B0AC9">
            <w:pPr>
              <w:pStyle w:val="ConsPlusNormal"/>
            </w:pPr>
            <w:r>
              <w:t>привлечены значительные (в объеме до 1,35 трлн. рублей в перспективе до 2035 года) средства российских и иностранных инвесторов;</w:t>
            </w:r>
          </w:p>
          <w:p w:rsidR="006B0AC9" w:rsidRDefault="006B0AC9">
            <w:pPr>
              <w:pStyle w:val="ConsPlusNormal"/>
            </w:pPr>
            <w:r>
              <w:t xml:space="preserve">повышена степень конкурентоспособности и </w:t>
            </w:r>
            <w:r>
              <w:lastRenderedPageBreak/>
              <w:t>энергоэффективности тепловой генерации по отношению к иным видам генерации;</w:t>
            </w:r>
          </w:p>
          <w:p w:rsidR="006B0AC9" w:rsidRDefault="006B0AC9">
            <w:pPr>
              <w:pStyle w:val="ConsPlusNormal"/>
            </w:pPr>
            <w:r>
              <w:t>обеспечено улучшение конкурентной среды на оптовом рынке электрической энергии и мощности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2019 - 2024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57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58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Обеспечена модернизация генерирующих мощностей с применением нового механизма конкурсного отбора инвестиционных проектов на базе долгосрочного рынка мощности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отобраны проекты по модернизации генерирующих мощностей установленной мощностью не менее 11 ГВт, предусматривающие замену порядка 57 турбин и 40 котлоагрегатов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субъекты электроэнергетики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59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60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Исключен. - </w:t>
            </w:r>
            <w:hyperlink r:id="rId6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18.05.2023 N 1288-р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Обеспечено строительство и модернизация генерирующих мощностей в Дальневосточном федеральном округе с применением нового механизма конкурсного отбора инвестиционных проектов на базе долгосрочного рынка мощности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отобраны проекты по строительству и модернизации 4 электрических станций установленной мощностью порядка 1,3 ГВт, обеспечен вывод из эксплуатации 41 блока мощностью порядка 1,5 ГВт на существующих электрических станциях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2019 - 2027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62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63">
              <w:r>
                <w:rPr>
                  <w:color w:val="0000FF"/>
                </w:rPr>
                <w:t>N 430-р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18.05.2023 </w:t>
            </w:r>
            <w:hyperlink r:id="rId64">
              <w:r>
                <w:rPr>
                  <w:color w:val="0000FF"/>
                </w:rPr>
                <w:t>N 1288-р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18" w:name="P2036"/>
            <w:bookmarkEnd w:id="18"/>
            <w:r>
              <w:t>1.4.1.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Обеспечена работа созданных с </w:t>
            </w:r>
            <w:r>
              <w:lastRenderedPageBreak/>
              <w:t>применением нового механизма конкурсного отбора инвестиционных проектов на базе долгосрочного рынка мощности;</w:t>
            </w:r>
          </w:p>
          <w:p w:rsidR="006B0AC9" w:rsidRDefault="006B0AC9">
            <w:pPr>
              <w:pStyle w:val="ConsPlusNormal"/>
            </w:pPr>
            <w:r>
              <w:t>обеспечено переключение нагрузок котельных и иных неэффективных источников тепловой энергии на данные объекты тепловой генерации в радиусе их эффективного теплоснабжения;</w:t>
            </w:r>
          </w:p>
          <w:p w:rsidR="006B0AC9" w:rsidRDefault="006B0AC9">
            <w:pPr>
              <w:pStyle w:val="ConsPlusNormal"/>
            </w:pPr>
            <w:r>
              <w:t>утверждены схемы теплоснабжения соответствующих муниципальных образований, учитывающие реализацию указанных задач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обеспечена максимальная </w:t>
            </w:r>
            <w:r>
              <w:lastRenderedPageBreak/>
              <w:t>эффективность функционирования новых генерирующих мощностей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2019 - 2024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высшие должностные лица </w:t>
            </w:r>
            <w:r>
              <w:lastRenderedPageBreak/>
              <w:t>субъектов Российской Федерации,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1.4.2.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Артемовской ТЭЦ-2 мощностью 440 МВт для замещения выводимой из эксплуатации Артемовской ТЭЦ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устойчивое энергоснабжение потребителей, находящихся на территории Приморского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2019 - 2026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1.4.2 введен </w:t>
            </w:r>
            <w:hyperlink r:id="rId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17.08.2019 N 1844-р;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распоряжений Правительства РФ от 20.02.2021 </w:t>
            </w:r>
            <w:hyperlink r:id="rId66">
              <w:r>
                <w:rPr>
                  <w:color w:val="0000FF"/>
                </w:rPr>
                <w:t>N 430-р</w:t>
              </w:r>
            </w:hyperlink>
            <w:r>
              <w:t xml:space="preserve">, от 13.04.2022 </w:t>
            </w:r>
            <w:hyperlink r:id="rId67">
              <w:r>
                <w:rPr>
                  <w:color w:val="0000FF"/>
                </w:rPr>
                <w:t>N 855-р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18.05.2023 </w:t>
            </w:r>
            <w:hyperlink r:id="rId68">
              <w:r>
                <w:rPr>
                  <w:color w:val="0000FF"/>
                </w:rPr>
                <w:t>N 1288-р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Хабаровской ТЭЦ-4 мощностью 410 МВт для замещения выводимой из эксплуатации Хабаровской ТЭЦ-1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устойчивое энергоснабжение потребителей, находящихся на территории Хабаровского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заместитель Министра энергетики Российской Федерации Грабчак Е.П., публичное акционерное общество "Федеральная </w:t>
            </w:r>
            <w:r>
              <w:lastRenderedPageBreak/>
              <w:t>гидрогенерирующая компания - РусГидро"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(п. 1.4.3 введен </w:t>
            </w:r>
            <w:hyperlink r:id="rId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17.08.2019 N 1844-р;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распоряжений Правительства РФ от 20.02.2021 </w:t>
            </w:r>
            <w:hyperlink r:id="rId70">
              <w:r>
                <w:rPr>
                  <w:color w:val="0000FF"/>
                </w:rPr>
                <w:t>N 430-р</w:t>
              </w:r>
            </w:hyperlink>
            <w:r>
              <w:t xml:space="preserve">, от 13.04.2022 </w:t>
            </w:r>
            <w:hyperlink r:id="rId71">
              <w:r>
                <w:rPr>
                  <w:color w:val="0000FF"/>
                </w:rPr>
                <w:t>N 855-р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18.05.2023 </w:t>
            </w:r>
            <w:hyperlink r:id="rId72">
              <w:r>
                <w:rPr>
                  <w:color w:val="0000FF"/>
                </w:rPr>
                <w:t>N 1288-р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Реконструкция энергетического производственно-технологического комплекса Владивостокской ТЭЦ-2 с заменой турбоагрегатов ст. N 1, 2, 3 и установкой 3 котлоагрегатов по 540 тонн/час каждый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устойчивое энергоснабжение потребителей, находящихся на территории Приморского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1.4.4 введен </w:t>
            </w:r>
            <w:hyperlink r:id="rId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17.08.2019 N 1844-р;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распоряжений Правительства РФ от 20.02.2021 </w:t>
            </w:r>
            <w:hyperlink r:id="rId74">
              <w:r>
                <w:rPr>
                  <w:color w:val="0000FF"/>
                </w:rPr>
                <w:t>N 430-р</w:t>
              </w:r>
            </w:hyperlink>
            <w:r>
              <w:t xml:space="preserve">, от 13.04.2022 </w:t>
            </w:r>
            <w:hyperlink r:id="rId75">
              <w:r>
                <w:rPr>
                  <w:color w:val="0000FF"/>
                </w:rPr>
                <w:t>N 855-р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18.05.2023 </w:t>
            </w:r>
            <w:hyperlink r:id="rId76">
              <w:r>
                <w:rPr>
                  <w:color w:val="0000FF"/>
                </w:rPr>
                <w:t>N 1288-р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Якутской ГРЭС-2 (2-я очередь) мощностью 160 МВт для замещения выводимой из эксплуатации Якутской ГРЭС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устойчивое энергоснабжение потребителей, находящихся на территории Республики Саха (Якутия)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1.4.5 введен </w:t>
            </w:r>
            <w:hyperlink r:id="rId7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17.08.2019 N 1844-р;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распоряжений Правительства РФ от 20.02.2021 </w:t>
            </w:r>
            <w:hyperlink r:id="rId78">
              <w:r>
                <w:rPr>
                  <w:color w:val="0000FF"/>
                </w:rPr>
                <w:t>N 430-р</w:t>
              </w:r>
            </w:hyperlink>
            <w:r>
              <w:t xml:space="preserve">, от 13.04.2022 </w:t>
            </w:r>
            <w:hyperlink r:id="rId79">
              <w:r>
                <w:rPr>
                  <w:color w:val="0000FF"/>
                </w:rPr>
                <w:t>N 855-р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18.05.2023 </w:t>
            </w:r>
            <w:hyperlink r:id="rId80">
              <w:r>
                <w:rPr>
                  <w:color w:val="0000FF"/>
                </w:rPr>
                <w:t>N 1288-р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1.4.6.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Модернизация Приморской ГРЭС для увеличения проектного числа часов использования установленной мощности до </w:t>
            </w:r>
            <w:r>
              <w:lastRenderedPageBreak/>
              <w:t>6500 часов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обеспечение электроснабжения тяговых подстанций второго этапа развития Восточного полигона железных дорог открытого акционерного общества </w:t>
            </w:r>
            <w:r>
              <w:lastRenderedPageBreak/>
              <w:t>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2023 - 2026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"Сибирская генерирующая компания" (акционерное общество "Сибирская Угольная Энергетическая Компания")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(п. 1.4.6 введен </w:t>
            </w:r>
            <w:hyperlink r:id="rId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20.02.2021 N 430-р;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распоряжений Правительства РФ от 13.04.2022 </w:t>
            </w:r>
            <w:hyperlink r:id="rId82">
              <w:r>
                <w:rPr>
                  <w:color w:val="0000FF"/>
                </w:rPr>
                <w:t>N 855-р</w:t>
              </w:r>
            </w:hyperlink>
            <w:r>
              <w:t xml:space="preserve">, от 18.05.2023 </w:t>
            </w:r>
            <w:hyperlink r:id="rId83">
              <w:r>
                <w:rPr>
                  <w:color w:val="0000FF"/>
                </w:rPr>
                <w:t>N 1288-р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1.4.7.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Сооружение 2 энергоблоков установленной мощностью 225 МВт каждый на Нерюнгринской ГРЭС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1.4.7 введен </w:t>
            </w:r>
            <w:hyperlink r:id="rId8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20.02.2021 N 430-р;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13.04.2022 N 855-р)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19" w:name="P2095"/>
            <w:bookmarkEnd w:id="19"/>
            <w:r>
              <w:t>1.4.8.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Расширение Партизанской ГРЭС с увеличением установленной мощности на 280 МВт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2023 - 2026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1.4.8 введен </w:t>
            </w:r>
            <w:hyperlink r:id="rId8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20.02.2021 N 430-р;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распоряжений Правительства РФ от 13.04.2022 </w:t>
            </w:r>
            <w:hyperlink r:id="rId87">
              <w:r>
                <w:rPr>
                  <w:color w:val="0000FF"/>
                </w:rPr>
                <w:t>N 855-р</w:t>
              </w:r>
            </w:hyperlink>
            <w:r>
              <w:t xml:space="preserve">, от 18.05.2023 </w:t>
            </w:r>
            <w:hyperlink r:id="rId88">
              <w:r>
                <w:rPr>
                  <w:color w:val="0000FF"/>
                </w:rPr>
                <w:t>N 1288-р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1.4.9.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Южно-Якутская ТЭС установленной мощностью 330 МВт, газопровод-отвод для газоснабжения Южно-Якутской ТЭС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заместитель Министра энергетики Российской Федерации Грабчак Е.П., заместитель Министра энергетики Российской Федерации Сниккарс П.Н., общество с ограниченной ответственностью </w:t>
            </w:r>
            <w:r>
              <w:lastRenderedPageBreak/>
              <w:t>"Газпром энергохолдинг"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20.02.2024 </w:t>
            </w:r>
            <w:hyperlink r:id="rId89">
              <w:r>
                <w:rPr>
                  <w:color w:val="0000FF"/>
                </w:rPr>
                <w:t>N 383-р</w:t>
              </w:r>
            </w:hyperlink>
            <w:r>
              <w:t xml:space="preserve">, от 31.08.2024 </w:t>
            </w:r>
            <w:hyperlink r:id="rId90">
              <w:r>
                <w:rPr>
                  <w:color w:val="0000FF"/>
                </w:rPr>
                <w:t>N 2388-р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1.4.10.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Расширение Свободненской ТЭС с увеличением установленной мощности на 450 МВт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2024 - 2028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 заместитель Министра энергетики Российской Федерации Сниккарс П.Н., общество с ограниченной ответственностью "Газпром энергохолдинг"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1.4.10 введен </w:t>
            </w:r>
            <w:hyperlink r:id="rId9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31.08.2024 N 2388-р)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по развитию магистральной электрической сети, обоснованные в схеме и программе развития Единой энергетической системы России, для покрытия перспективного спроса на электрическую энергию и мощность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обеспечено покрытие перспективного спроса на электрическую энергию и мощность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2019 - 2027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92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93">
              <w:r>
                <w:rPr>
                  <w:color w:val="0000FF"/>
                </w:rPr>
                <w:t>N 430-р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09.12.2022 </w:t>
            </w:r>
            <w:hyperlink r:id="rId94">
              <w:r>
                <w:rPr>
                  <w:color w:val="0000FF"/>
                </w:rPr>
                <w:t>N 3867-р</w:t>
              </w:r>
            </w:hyperlink>
            <w:r>
              <w:t xml:space="preserve">, </w:t>
            </w:r>
            <w:hyperlink r:id="rId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693,</w:t>
            </w:r>
          </w:p>
          <w:p w:rsidR="006B0AC9" w:rsidRDefault="006B0AC9">
            <w:pPr>
              <w:pStyle w:val="ConsPlusNormal"/>
              <w:jc w:val="both"/>
            </w:pP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20" w:name="P2124"/>
            <w:bookmarkEnd w:id="20"/>
            <w:r>
              <w:t>1.5.1.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ПС 500 кВ Усть-Кут с заходами ВЛ 500 кВ и ВЛ 220 кВ с постановкой под напряжение для проведения пусконаладочных работ в 2019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обеспечение энергоснабжения проекта по увеличению пропускной способности трубопроводной системы "Восточная Сибирь - Тихий Океан I" и трубопроводной системы "Восточная Сибирь - Тихий Океан - II", комплексного проекта по развитию газотранспортной </w:t>
            </w:r>
            <w:r>
              <w:lastRenderedPageBreak/>
              <w:t>инфраструктуры "Сила Сибири", проекта расширения пропускной способности Байкало-Амурской и Транссибирской железнодорожных магистралей (первый этап), Удоканского горно-обогатительного комбината, присоединение Западного и Центрального энергорайонов Республики Саха (Якутия) к Единой энергетической системе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 xml:space="preserve">публичное акционерное общество </w:t>
            </w:r>
            <w:r>
              <w:lastRenderedPageBreak/>
              <w:t>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17.08.2019 </w:t>
            </w:r>
            <w:hyperlink r:id="rId97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98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99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21" w:name="P2133"/>
            <w:bookmarkEnd w:id="21"/>
            <w:r>
              <w:t>1.5.2.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Строительство ПС 500 кВ Нижнеангарская трансформаторной мощностью 1002 МВА и СКРМ 730 Мвар (ШР-500 кВ 3 x 180 Мвар, УШР-220 кВ 2 x 35 Мвар, БСК-220 кВ 2 x 60 Мвар), строительство одноцепной ВЛ 500 кВ Нижнеангарская - Усть-Кут ориентировочной протяженностью 465 км, реконструкция ВЛ 220 кВ Кичера - Новый Уоян и ВЛ 220 кВ Ангоя - Новый Уоян (для технологического присоединения энергопринимающих устройств открытого акционерного общества "Российские железные дороги") с постановкой под </w:t>
            </w:r>
            <w:r>
              <w:lastRenderedPageBreak/>
              <w:t>напряжение для проведения пусконаладочных работ в сентябре 2023 г.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обеспечение энергоснабжения проекта по увеличению пропускной способности трубопроводной системы "Восточная Сибирь - Тихий Океан I" и трубопроводной системы "Восточная Сибирь - Тихий Океан - II", комплексного проекта по развитию газотранспортной инфраструктуры "Сила Сибири", проекта расширения пропускной способности Байкало-Амурской и Транссибирской железнодорожных магистралей (первый этап), Удоканского горно-обогатительного комбината, присоединение Западного и Центрального энергорайонов Республики Саха (Якутия) к Единой энергетической системе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сентябрь 2024 г.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00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101">
              <w:r>
                <w:rPr>
                  <w:color w:val="0000FF"/>
                </w:rPr>
                <w:t>N 430-р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13.04.2022 </w:t>
            </w:r>
            <w:hyperlink r:id="rId102">
              <w:r>
                <w:rPr>
                  <w:color w:val="0000FF"/>
                </w:rPr>
                <w:t>N 855-р</w:t>
              </w:r>
            </w:hyperlink>
            <w:r>
              <w:t xml:space="preserve">, от 09.12.2022 </w:t>
            </w:r>
            <w:hyperlink r:id="rId103">
              <w:r>
                <w:rPr>
                  <w:color w:val="0000FF"/>
                </w:rPr>
                <w:t>N 3867-р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</w:t>
            </w:r>
          </w:p>
          <w:p w:rsidR="006B0AC9" w:rsidRDefault="006B0AC9">
            <w:pPr>
              <w:pStyle w:val="ConsPlusNormal"/>
              <w:jc w:val="both"/>
            </w:pPr>
            <w:r>
              <w:t>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1.5.3.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Исключен. - </w:t>
            </w:r>
            <w:hyperlink r:id="rId10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17.08.2019 N 1844-р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1.5.4.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Исключен. - </w:t>
            </w:r>
            <w:hyperlink r:id="rId10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09.12.2022 N 3867-р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22" w:name="P2146"/>
            <w:bookmarkEnd w:id="22"/>
            <w:r>
              <w:t>1.5.5.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ПС 220 кВ Сухой Лог трансформаторной мощностью 126 МВА, строительство одноцепной ВЛ 220 кВ Пеледуй - Сухой Лог ориентировочной протяженностью 248 км, строительство двух одноцепных ВЛ 220 кВ Сухой Лог - Мамакан ориентировочной протяженностью 169,9 км каждая с постановкой под напряжение для проведения пусконаладочных работ в 2019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энергоснабжения проекта по увеличению пропускной способности трубопроводной системы "Восточная Сибирь - Тихий Океан I" и трубопроводной системы "Восточная Сибирь - Тихий Океан - II", комплексного проекта по развитию газотранспортной инфраструктуры "Сила Сибири", проекта расширения пропускной способности Байкало-Амурской и Транссибирской железнодорожных магистралей (первый этап), Удоканского горно-обогатительного комбината, присоединение Западного и Центрального энергорайонов Республики Саха (Якутия) и месторождений Сухой Лог и Чертово Корыто к Единой энергетической системе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07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08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09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1.5.6.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второй ВЛ 220 кВ Минусинская опорная - Камала-1 ориентировочной протяженностью 445 км с постановкой под напряжение для проведения пусконаладочных работ в 2021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надежности электроснабжения потребителей и увеличение пропускной способности одноцепного железнодорожного транзита Минусинская опорная - Саянская тяговая - Камала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10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111">
              <w:r>
                <w:rPr>
                  <w:color w:val="0000FF"/>
                </w:rPr>
                <w:t>N 430-р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13.04.2022 </w:t>
            </w:r>
            <w:hyperlink r:id="rId112">
              <w:r>
                <w:rPr>
                  <w:color w:val="0000FF"/>
                </w:rPr>
                <w:t>N 855-р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ЛЭП 220 кВ Лесозаводск - Спасск - Дальневосточная с постановкой под напряжение для проведения пусконаладочных работ по этапам 1, 2 - в 2019 году, по этапам 3, 4 - в 2020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расширение пропускной способности электрических связей Приморской энергосистемы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этап 1, 2 - 2020 год, этап 3, 4 - 2021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13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14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15">
              <w:r>
                <w:rPr>
                  <w:color w:val="0000FF"/>
                </w:rPr>
                <w:t>N 430-р</w:t>
              </w:r>
            </w:hyperlink>
            <w:r>
              <w:t xml:space="preserve">, от 13.04.2022 </w:t>
            </w:r>
            <w:hyperlink r:id="rId116">
              <w:r>
                <w:rPr>
                  <w:color w:val="0000FF"/>
                </w:rPr>
                <w:t>N 855-р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ЛЭП 220 кВ Широкая - Лозовая с выносом РУ 220 кВ ПС Находка с постановкой под напряжение для проведения пусконаладочных работ в 2021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надежности электроснабжения потребителей района Находки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17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18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19">
              <w:r>
                <w:rPr>
                  <w:color w:val="0000FF"/>
                </w:rPr>
                <w:t>N 430-р</w:t>
              </w:r>
            </w:hyperlink>
            <w:r>
              <w:t xml:space="preserve">, от 13.04.2022 </w:t>
            </w:r>
            <w:hyperlink r:id="rId120">
              <w:r>
                <w:rPr>
                  <w:color w:val="0000FF"/>
                </w:rPr>
                <w:t>N 855-р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Строительство ВЛ 330 кВ Артем - Дербент с постановкой под </w:t>
            </w:r>
            <w:r>
              <w:lastRenderedPageBreak/>
              <w:t>напряжение для проведения пусконаладочных работ в 2019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обеспечение надежности электроснабжения потребителей </w:t>
            </w:r>
            <w:r>
              <w:lastRenderedPageBreak/>
              <w:t>южной части энергосистемы Республики Дагестан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заместитель Министра энергетики Российской Федерации Сниккарс </w:t>
            </w:r>
            <w:r>
              <w:lastRenderedPageBreak/>
              <w:t>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17.08.2019 </w:t>
            </w:r>
            <w:hyperlink r:id="rId121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22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23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1.5.10.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ВЛ 330 кВ Петрозаводск - Тихвин - Литейный ориентировочной протяженностью 280 км с постановкой под напряжение для проведения пусконаладочных работ в 2021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расширение пропускной способности электрических связей Кольско-Карельского транзита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24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25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26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1.5.11.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ВЛ 330 кВ Кольская АЭС - Княжегубская ГЭС - ПС 330/110/35 кВ Лоухи - Путкинская ГЭС - открытого распределительного устройства 330 кВ Ондской ГЭС с постановкой под напряжение для проведения пусконаладочных работ в 2022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расширение пропускной способности электрических связей Кольско-Карельского транзита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27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28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29">
              <w:r>
                <w:rPr>
                  <w:color w:val="0000FF"/>
                </w:rPr>
                <w:t>N 430-р</w:t>
              </w:r>
            </w:hyperlink>
            <w:r>
              <w:t xml:space="preserve">, </w:t>
            </w:r>
            <w:hyperlink r:id="rId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1.5.12.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Строительство ВЛ 220 кВ </w:t>
            </w:r>
            <w:r>
              <w:lastRenderedPageBreak/>
              <w:t>Печорская ГРЭС - Ухта - Микунь с постановкой под напряжение для проведения пусконаладочных работ в 2021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повышение надежности </w:t>
            </w:r>
            <w:r>
              <w:lastRenderedPageBreak/>
              <w:t>энергоснабжения потребителей Республики Коми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2022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заместитель Министра энергетики </w:t>
            </w:r>
            <w:r>
              <w:lastRenderedPageBreak/>
              <w:t>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17.08.2019 </w:t>
            </w:r>
            <w:hyperlink r:id="rId131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32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33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1.5.13.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ВЛ-220 кВ Нерюнгринская ГРЭС - Нижний Куранах - Томмот - Майя с ПС 220 Томмот и ПС 220 Майя, Республика Саха (Якутия) с постановкой под напряжение для проведения пусконаладочных работ в 2018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присоединение Центрального энергорайона Республики Саха (Якутия) к Единой энергетической системе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34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35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36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1.5.14.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второй ВЛ 220 кВ Междуреченская - Степная ориентировочной протяженностью 250 км с постановкой под напряжение для проведения пусконаладочных работ в 2021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надежности электроснабжения потребителей на юге Кузбасской энергосистемы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37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38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39">
              <w:r>
                <w:rPr>
                  <w:color w:val="0000FF"/>
                </w:rPr>
                <w:t>N 430-р</w:t>
              </w:r>
            </w:hyperlink>
            <w:r>
              <w:t xml:space="preserve">, от 13.04.2022 </w:t>
            </w:r>
            <w:hyperlink r:id="rId140">
              <w:r>
                <w:rPr>
                  <w:color w:val="0000FF"/>
                </w:rPr>
                <w:t>N 855-р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1.5.15.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Строительство ВЛ 220 кВ </w:t>
            </w:r>
            <w:r>
              <w:lastRenderedPageBreak/>
              <w:t>Комсомольская - Селихино - Ванино с постановкой под напряжение для проведения пусконаладочных работ в 2019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обеспечение надежного </w:t>
            </w:r>
            <w:r>
              <w:lastRenderedPageBreak/>
              <w:t>электроснабжения потребителей Ванинского района и г. Советская Гавань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заместитель Министра энергетики </w:t>
            </w:r>
            <w:r>
              <w:lastRenderedPageBreak/>
              <w:t>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17.08.2019 </w:t>
            </w:r>
            <w:hyperlink r:id="rId141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42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43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23" w:name="P2234"/>
            <w:bookmarkEnd w:id="23"/>
            <w:r>
              <w:t>1.5.16.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ПС 220 кВ Исконная с заходом ВЛ 220 кВ Уренгойская ГРЭС - Уренгой с постановкой под напряжение для проведения пусконаладочных работ в 2018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надежности электроснабжения потребителей Уренгойского энергорайона и технологического присоединения новых потребителей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44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45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46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1.5.17.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Исключен. - </w:t>
            </w:r>
            <w:hyperlink r:id="rId14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17.08.2019 N 1844-р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24" w:name="P2244"/>
            <w:bookmarkEnd w:id="24"/>
            <w:r>
              <w:t>1.5.18.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ВЛ 330 кВ от ВЛ 330 кВ Курская АЭС - Сумы Северная до ПС 330 кВ Белгород протяженностью 145 км со строительством ПП 330 кВ на ВЛ 330 кВ Курская АЭС - Сумы Северная по схеме "треугольник" с установкой трех выключателей 330 кВ и расширением ПС 330 кВ Белгород на одну линейную ячейку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надежного электроснабжения потребителей Белгородской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первый этап - 2025 год; второй, третий этапы - 2028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1.5.18 введен </w:t>
            </w:r>
            <w:hyperlink r:id="rId14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20.02.2021 N 430-р;</w:t>
            </w:r>
          </w:p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в ред. </w:t>
            </w:r>
            <w:hyperlink r:id="rId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693, распоряжений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Правительства РФ от 18.05.2023 </w:t>
            </w:r>
            <w:hyperlink r:id="rId150">
              <w:r>
                <w:rPr>
                  <w:color w:val="0000FF"/>
                </w:rPr>
                <w:t>N 1288-р</w:t>
              </w:r>
            </w:hyperlink>
            <w:r>
              <w:t xml:space="preserve">, от 31.08.2024 </w:t>
            </w:r>
            <w:hyperlink r:id="rId151">
              <w:r>
                <w:rPr>
                  <w:color w:val="0000FF"/>
                </w:rPr>
                <w:t>N 2388-р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1.5.19.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Комплексная реконструкция ПС 220 кВ Междуреченская с постановкой под напряжение для проведения пусконаладочных работ в 2021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тяговых подстанций первого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1.5.19 введен </w:t>
            </w:r>
            <w:hyperlink r:id="rId15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13.04.2022 N 855-р)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25" w:name="P2260"/>
            <w:bookmarkEnd w:id="25"/>
            <w:r>
              <w:t>1.5.20.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ВЛ 220 кВ</w:t>
            </w:r>
          </w:p>
          <w:p w:rsidR="006B0AC9" w:rsidRDefault="006B0AC9">
            <w:pPr>
              <w:pStyle w:val="ConsPlusNormal"/>
            </w:pPr>
            <w:r>
              <w:t>Означенное - Степная (участок от опоры 64 до ПС 220 кВ Степная) и ПС 220 кВ Степная с заходами 220 кВ с постановкой под напряжение для проведения пусконаладочных работ в 2021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тяговых подстанций первого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1.5.20 введен </w:t>
            </w:r>
            <w:hyperlink r:id="rId1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13.04.2022 N 855-р)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1.5.21 - 1.5.24.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Исключены. - </w:t>
            </w:r>
            <w:hyperlink r:id="rId15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18.05.2023 N 1288-р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26" w:name="P2270"/>
            <w:bookmarkEnd w:id="26"/>
            <w:r>
              <w:t>1.5.25.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ПП 500 кВ Агорта с реконструкцией ВЛ 500 кВ Зейская ГЭС - Амурская N 1 и образованием одноцепных ВЛ 500 кВ Зейская ГЭС - Агорта N 1 и ВЛ 500 кВ Амурская - Агорта N 1,</w:t>
            </w:r>
          </w:p>
          <w:p w:rsidR="006B0AC9" w:rsidRDefault="006B0AC9">
            <w:pPr>
              <w:pStyle w:val="ConsPlusNormal"/>
            </w:pPr>
            <w:r>
              <w:t xml:space="preserve">реконструкцией ВЛ 500 кВ Зейская ГЭС - Амурская N 2 и образованием одноцепных ВЛ </w:t>
            </w:r>
            <w:r>
              <w:lastRenderedPageBreak/>
              <w:t>500 кВ Зейская ГЭС - Агорта N 2 и ВЛ 500 кВ Амурская - Агорта N 2,</w:t>
            </w:r>
          </w:p>
          <w:p w:rsidR="006B0AC9" w:rsidRDefault="006B0AC9">
            <w:pPr>
              <w:pStyle w:val="ConsPlusNormal"/>
            </w:pPr>
            <w:r>
              <w:t>строительство одноцепной ВЛ 500 кВ Агорта - Сковородино,</w:t>
            </w:r>
          </w:p>
          <w:p w:rsidR="006B0AC9" w:rsidRDefault="006B0AC9">
            <w:pPr>
              <w:pStyle w:val="ConsPlusNormal"/>
            </w:pPr>
            <w:r>
              <w:t>реконструкция ПС 220 кВ Сковородино (строительство РУ 500 кВ, установка одного АТГ 500/220 кВ мощностью 501 МВА с резервной фазой мощностью 167 МВА, одного ШР 500 кВ мощностью 180 Мвар с резервной фазой 60 Мвар) (для технологического присоединения энергопринимающих устройств открытого акционерного общества "Российские железные дороги") с постановкой под напряжение для проведения пусконаладочных работ в 2024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1.5.25 введен </w:t>
            </w:r>
            <w:hyperlink r:id="rId15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13.04.2022 N 855-р;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1.5.26.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ВЛ 500 кВ Нижнеангарская - Таксимо ориентировочной длиной 230 км, реконструкция ПС 220 кВ Сухой Лог с расширением ОРУ 220 кВ на две линейные ячейки,</w:t>
            </w:r>
          </w:p>
          <w:p w:rsidR="006B0AC9" w:rsidRDefault="006B0AC9">
            <w:pPr>
              <w:pStyle w:val="ConsPlusNormal"/>
            </w:pPr>
            <w:r>
              <w:t xml:space="preserve">реконструкция ПС 220 кВ Таксимо со строительством ОРУ 500 кВ и установкой </w:t>
            </w:r>
            <w:r>
              <w:lastRenderedPageBreak/>
              <w:t>автотрансформатора 500/220 кВ с резервной фазой 167 МВА и шунтирующего реактора 500 кВ мощностью 180 Мвар с резервной фазой 60 Мвар,</w:t>
            </w:r>
          </w:p>
          <w:p w:rsidR="006B0AC9" w:rsidRDefault="006B0AC9">
            <w:pPr>
              <w:pStyle w:val="ConsPlusNormal"/>
            </w:pPr>
            <w:r>
              <w:t>реконструкция ПС 220 кВ НПС-9 с установкой БСК 220 кВ мощностью 45 Мвар (для технологического присоединения энергопринимающих устройств открытого акционерного общества "Российские железные дороги" и общества с ограниченной ответственностью "Полюс Сухой Лог") с постановкой под напряжение для проведения пусконаладочных работ в сентябре 2024 г.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1.5.26 введен </w:t>
            </w:r>
            <w:hyperlink r:id="rId1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13.04.2022 N 855-р;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09.12.2022 N 3867-р, </w:t>
            </w:r>
            <w:hyperlink r:id="rId159">
              <w:r>
                <w:rPr>
                  <w:color w:val="0000FF"/>
                </w:rPr>
                <w:t>Постановления</w:t>
              </w:r>
            </w:hyperlink>
          </w:p>
          <w:p w:rsidR="006B0AC9" w:rsidRDefault="006B0AC9">
            <w:pPr>
              <w:pStyle w:val="ConsPlusNormal"/>
              <w:jc w:val="both"/>
            </w:pPr>
            <w:r>
              <w:t>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1.5.27.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ВЛ 500 кВ Нижнеангарская - Усть-Кут N 2 ориентировочной протяженностью 480 км,</w:t>
            </w:r>
          </w:p>
          <w:p w:rsidR="006B0AC9" w:rsidRDefault="006B0AC9">
            <w:pPr>
              <w:pStyle w:val="ConsPlusNormal"/>
            </w:pPr>
            <w:r>
              <w:t xml:space="preserve">реконструкция ОРУ 500 кВ ПС 500 кВ Усть-Кут (расширение для установки линейной ячейки и шунтирующего реактора 500 кВ мощностью 180 Мвар) (для </w:t>
            </w:r>
            <w:r>
              <w:lastRenderedPageBreak/>
              <w:t>технологического присоединения энергопринимающих устройств и объектов по производству электрической энергии открытого акционерного общества "Российские железные дороги") с постановкой под напряжение для проведения пусконаладочных работ в сентябре 2024 г.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1.5.27 введен </w:t>
            </w:r>
            <w:hyperlink r:id="rId16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13.04.2022 N 855-р;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09.12.2022 N 3867-р, </w:t>
            </w:r>
            <w:hyperlink r:id="rId162">
              <w:r>
                <w:rPr>
                  <w:color w:val="0000FF"/>
                </w:rPr>
                <w:t>Постановления</w:t>
              </w:r>
            </w:hyperlink>
          </w:p>
          <w:p w:rsidR="006B0AC9" w:rsidRDefault="006B0AC9">
            <w:pPr>
              <w:pStyle w:val="ConsPlusNormal"/>
              <w:jc w:val="both"/>
            </w:pPr>
            <w:r>
              <w:t>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1.5.28.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ВЛ 220 кВ Зилово - Холбон ориентировочной протяженностью 220 км, Строительство ВЛ 220 кВ Зилово - Могоча ориентировочной протяженностью 220 км, реконструкция ПС 220 кВ Холбон (в части сооружения ячейки 220 кВ для подключения ВЛ 220 кВ Зилово - Холбон),</w:t>
            </w:r>
          </w:p>
          <w:p w:rsidR="006B0AC9" w:rsidRDefault="006B0AC9">
            <w:pPr>
              <w:pStyle w:val="ConsPlusNormal"/>
            </w:pPr>
            <w:r>
              <w:t>реконструкция ПС 220 кВ Могоча (в части сооружения ячейки 220 кВ для подключения ВЛ 220 кВ Зилово - Могоча)</w:t>
            </w:r>
          </w:p>
          <w:p w:rsidR="006B0AC9" w:rsidRDefault="006B0AC9">
            <w:pPr>
              <w:pStyle w:val="ConsPlusNormal"/>
            </w:pPr>
            <w:r>
              <w:t xml:space="preserve">(для технологического присоединения энергопринимающих устройств открытого акционерного </w:t>
            </w:r>
            <w:r>
              <w:lastRenderedPageBreak/>
              <w:t>общества "Российские железные дороги") с постановкой под напряжение для проведения пусконаладочных работ в 2023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1.5.28 введен </w:t>
            </w:r>
            <w:hyperlink r:id="rId16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13.04.2022 N 855-р;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1.5.29.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ВЛ 220 кВ</w:t>
            </w:r>
          </w:p>
          <w:p w:rsidR="006B0AC9" w:rsidRDefault="006B0AC9">
            <w:pPr>
              <w:pStyle w:val="ConsPlusNormal"/>
            </w:pPr>
            <w:r>
              <w:t>Комсомольская - Старт N 1</w:t>
            </w:r>
          </w:p>
          <w:p w:rsidR="006B0AC9" w:rsidRDefault="006B0AC9">
            <w:pPr>
              <w:pStyle w:val="ConsPlusNormal"/>
            </w:pPr>
            <w:r>
              <w:t>с отпайкой на ГПП-4 (достройка участка ВЛ 220 кВ от ВЛ 220 кВ</w:t>
            </w:r>
          </w:p>
          <w:p w:rsidR="006B0AC9" w:rsidRDefault="006B0AC9">
            <w:pPr>
              <w:pStyle w:val="ConsPlusNormal"/>
            </w:pPr>
            <w:r>
              <w:t>Комсомольская - ГПП-4 до ПС 220 кВ Старт ориентировочной протяженностью 21 км с образованием ВЛ 220 кВ</w:t>
            </w:r>
          </w:p>
          <w:p w:rsidR="006B0AC9" w:rsidRDefault="006B0AC9">
            <w:pPr>
              <w:pStyle w:val="ConsPlusNormal"/>
            </w:pPr>
            <w:r>
              <w:t>Комсомольская - Старт N 1</w:t>
            </w:r>
          </w:p>
          <w:p w:rsidR="006B0AC9" w:rsidRDefault="006B0AC9">
            <w:pPr>
              <w:pStyle w:val="ConsPlusNormal"/>
            </w:pPr>
            <w:r>
              <w:t>с отпайкой на ПС 220 кВ ГПП-4) (для технологического присоединения энергопринимающих устройств открытого акционерного общества "Российские железные дороги") с постановкой под напряжение для проведения пусконаладочных работ в 2023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1.5.29 введен </w:t>
            </w:r>
            <w:hyperlink r:id="rId1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13.04.2022 N 855-р;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1.5.30.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Строительство ВЛ 500 кВ Усть-Илимская ГЭС - Усть-Кут N 3 ориентировочной </w:t>
            </w:r>
            <w:r>
              <w:lastRenderedPageBreak/>
              <w:t>протяженностью 294 км, ремонтно-эксплуатационной базы для размещения линейного участка в г. Усть-Илимск, реконструкция ОРУ 500 кВ ПС 500 кВ Усть-Кут</w:t>
            </w:r>
          </w:p>
          <w:p w:rsidR="006B0AC9" w:rsidRDefault="006B0AC9">
            <w:pPr>
              <w:pStyle w:val="ConsPlusNormal"/>
            </w:pPr>
            <w:r>
              <w:t>(расширение для установки линейной ячейки и шунтирующего реактора 500 кВ мощностью 180 Мвар) (для технологического присоединения энергопринимающих устройств и объектов по производству электрической энергии открытого акционерного общества "Российские железные дороги" и публичного акционерного общества "Газпром") с постановкой под напряжение для проведения пусконаладочных работ в сентябре 2024 г.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обеспечение электроснабжения тяговых подстанций второго этапа развития Восточного полигона железных дорог </w:t>
            </w:r>
            <w:r>
              <w:lastRenderedPageBreak/>
              <w:t>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2025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lastRenderedPageBreak/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(п. 1.5.30 введен </w:t>
            </w:r>
            <w:hyperlink r:id="rId1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13.04.2022 N 855-р;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09.12.2022 N 3867-р, </w:t>
            </w:r>
            <w:hyperlink r:id="rId169">
              <w:r>
                <w:rPr>
                  <w:color w:val="0000FF"/>
                </w:rPr>
                <w:t>Постановления</w:t>
              </w:r>
            </w:hyperlink>
          </w:p>
          <w:p w:rsidR="006B0AC9" w:rsidRDefault="006B0AC9">
            <w:pPr>
              <w:pStyle w:val="ConsPlusNormal"/>
              <w:jc w:val="both"/>
            </w:pPr>
            <w:r>
              <w:t>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27" w:name="P2335"/>
            <w:bookmarkEnd w:id="27"/>
            <w:r>
              <w:t>1.5.31.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Строительство одноцепной ВЛ 220 кВ Комсомольская - Байкал - Оунэ/т - Кузнецовский - Ландыши/т - Ванино, ориентировочной протяженностью 433,5 км, со </w:t>
            </w:r>
            <w:r>
              <w:lastRenderedPageBreak/>
              <w:t>строительством ПП 220 кВ Байкал, строительством ПП 220 кВ Кузнецовский, с реконструкцией ВЛ 220 кВ Комсомольская - Селихино N 1 и ВЛ 220 кВ Комсомольская - Селихино N 2 (переустройство/вынос/замена опор), с реконструкцией ВЛ 220 кВ Селихино - Ванино и ВЛ 220 кВ Высокогорная - Ванино (переустройство/вынос), с реконструкцией ПС 500 кВ Комсомольская (расширение ОРУ 220 кВ), ПС 220 кВ Ванино (расширение ОРУ 220 кВ), с установкой СКРМ мощностью не менее 150 Мвар с постановкой под напряжение для проведения пусконаладочных работ в 2026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1.5.31 введен </w:t>
            </w:r>
            <w:hyperlink r:id="rId17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13.04.2022 N 855-р;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693, </w:t>
            </w:r>
            <w:hyperlink r:id="rId172">
              <w:r>
                <w:rPr>
                  <w:color w:val="0000FF"/>
                </w:rPr>
                <w:t>распоряжения</w:t>
              </w:r>
            </w:hyperlink>
          </w:p>
          <w:p w:rsidR="006B0AC9" w:rsidRDefault="006B0AC9">
            <w:pPr>
              <w:pStyle w:val="ConsPlusNormal"/>
              <w:jc w:val="both"/>
            </w:pPr>
            <w:r>
              <w:t>Правительства 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28" w:name="P2344"/>
            <w:bookmarkEnd w:id="28"/>
            <w:r>
              <w:t>1.5.32 - 1.5.42.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Исключены. - </w:t>
            </w:r>
            <w:hyperlink r:id="rId17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20.02.2024 N 383-р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1.5.43.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Обеспечено строительство и реконструкция электрической сети 110 кВ в рамках развития Восточного полигона железных дорог, в том числе на </w:t>
            </w:r>
            <w:r>
              <w:lastRenderedPageBreak/>
              <w:t>территории Иркутской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 акционерное общество "Иркутская электросетевая компания"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1.5.43 в ред. </w:t>
            </w:r>
            <w:hyperlink r:id="rId1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20.02.2024 N 383-р)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1.5.44.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мероприятий по модернизации железнодорожной инфраструктуры Байкало-Амурской и Транссибирской железнодорожных магистралей с развитием пропускных и провозных способностей (второй этап)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объектов, необходимых для модернизации железнодорожной инфраструктуры Байкало-Амурской и Транссибирской железнодорожных магистралей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2023 - 2025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1.5.44 введен </w:t>
            </w:r>
            <w:hyperlink r:id="rId17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для обеспечения устойчивого энергоснабжения потребителей на территориях Республики Крым и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обеспечено устойчивое энергоснабжение потребителей на территориях Республики Крым и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2020 - 2031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Россети",</w:t>
            </w:r>
          </w:p>
          <w:p w:rsidR="006B0AC9" w:rsidRDefault="006B0AC9">
            <w:pPr>
              <w:pStyle w:val="ConsPlusNormal"/>
            </w:pPr>
            <w:r>
              <w:t>акционерное общество "Крымэнерго"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1.6 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24.06.2023 N 1653-р)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1.6.1 - 1.6.2.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Исключены. - </w:t>
            </w:r>
            <w:hyperlink r:id="rId17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09.12.2022 N 3867-р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1.6.3.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Исключен. - </w:t>
            </w:r>
            <w:hyperlink r:id="rId17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20.02.2021 N 430-р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1.6.4 - 1.6.9.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Исключены. - </w:t>
            </w:r>
            <w:hyperlink r:id="rId17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17.08.2019 N 1844-р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1.6.10 - 1.6.12.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Исключены. - </w:t>
            </w:r>
            <w:hyperlink r:id="rId18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09.12.2022 N 3867-р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29" w:name="P2376"/>
            <w:bookmarkEnd w:id="29"/>
            <w:r>
              <w:t>1.6.13.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энергоцентра в г. Билибино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устойчивое энергоснабжение потребителей, находящихся на территории Чукотского автономного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Правительство Чукотского автономного округа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81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182">
              <w:r>
                <w:rPr>
                  <w:color w:val="0000FF"/>
                </w:rPr>
                <w:t>N 430-р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13.04.2022 </w:t>
            </w:r>
            <w:hyperlink r:id="rId183">
              <w:r>
                <w:rPr>
                  <w:color w:val="0000FF"/>
                </w:rPr>
                <w:t>N 855-р</w:t>
              </w:r>
            </w:hyperlink>
            <w:r>
              <w:t xml:space="preserve">, от 18.05.2023 </w:t>
            </w:r>
            <w:hyperlink r:id="rId184">
              <w:r>
                <w:rPr>
                  <w:color w:val="0000FF"/>
                </w:rPr>
                <w:t>N 1288-р</w:t>
              </w:r>
            </w:hyperlink>
            <w:r>
              <w:t xml:space="preserve">, от 20.02.2024 </w:t>
            </w:r>
            <w:hyperlink r:id="rId185">
              <w:r>
                <w:rPr>
                  <w:color w:val="0000FF"/>
                </w:rPr>
                <w:t>N 383-р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30" w:name="P2384"/>
            <w:bookmarkEnd w:id="30"/>
            <w:r>
              <w:t>1.6.14.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двух одноцепных ВЛ 110 кВ Певек - Билибино (этап строительства N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устойчивое энергоснабжение потребителей, находящихся на территории Чукотского автономного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86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187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188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31" w:name="P2392"/>
            <w:bookmarkEnd w:id="31"/>
            <w:r>
              <w:t>1.6.15.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двух одноцепных ВЛ 110 кВ Певек - Билибино (этап строительства N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устойчивое энергоснабжение потребителей, находящихся на территории Чукотского автономного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89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190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1.6.16.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Реализованы мероприятия по </w:t>
            </w:r>
            <w:r>
              <w:lastRenderedPageBreak/>
              <w:t>обеспечению внешнего электроснабжения Баимского горно-обогатительного комбината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обеспечение внешнего </w:t>
            </w:r>
            <w:r>
              <w:lastRenderedPageBreak/>
              <w:t>электроснабжения Баимского горно-обогатительного комбината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2020 - 2031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заместитель Министра энергетики </w:t>
            </w:r>
            <w:r>
              <w:lastRenderedPageBreak/>
              <w:t>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общество с ограниченной ответственностью "ГДК Баимская",</w:t>
            </w:r>
          </w:p>
          <w:p w:rsidR="006B0AC9" w:rsidRDefault="006B0AC9">
            <w:pPr>
              <w:pStyle w:val="ConsPlusNormal"/>
            </w:pPr>
            <w:r>
              <w:t>Правительство Чукотского автономного округа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(п. 1.6.16 введен </w:t>
            </w:r>
            <w:hyperlink r:id="rId19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20.02.2021 N 430-р;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1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13.04.2022 N 855-р)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1.6.17.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сетевого комплекса ПС 330/110 кВ Нахимовская в районе между ПС 330 кВ Севастополь и заводом ЖБИ (Чернореченская, 129) с подключением ЛЭП 330 кВ к ТЭС-330 кВ Балаклавская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надежного и бесперебойного электроснабжения потребителей Крымского полуострова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Россети",</w:t>
            </w:r>
          </w:p>
          <w:p w:rsidR="006B0AC9" w:rsidRDefault="006B0AC9">
            <w:pPr>
              <w:pStyle w:val="ConsPlusNormal"/>
            </w:pPr>
            <w:r>
              <w:t>акционерное общество "Крымэнерго"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1.6.17 введен </w:t>
            </w:r>
            <w:hyperlink r:id="rId1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24.06.2023 N 1653-р)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1.6.18.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ПС 220 кВ Газовая с сооружением заходов от КВЛ 220 кВ Тамань - Кафа N 3 до ПС 220 кВ Газовая, с образованием ЛЭП 220 кВ Тамань - Газовая и ВЛ 220 кВ Газовая - Кафа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надежного и бесперебойного электроснабжения потребителей Крымского полуострова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Россети",</w:t>
            </w:r>
          </w:p>
          <w:p w:rsidR="006B0AC9" w:rsidRDefault="006B0AC9">
            <w:pPr>
              <w:pStyle w:val="ConsPlusNormal"/>
            </w:pPr>
            <w:r>
              <w:t>акционерное общество "Крымэнерго"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1.6.18 введен </w:t>
            </w:r>
            <w:hyperlink r:id="rId1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24.06.2023 N 1653-р)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Реализованы мероприятия по развитию магистральной электрической сети, </w:t>
            </w:r>
            <w:r>
              <w:lastRenderedPageBreak/>
              <w:t>необходимые для реализации заключенных в установленном порядке договоров на технологическое присоединение крупных потребителей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обеспечено технологическое присоединение энергопринимающих устройств крупных потребителей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2019 - 2026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lastRenderedPageBreak/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17.08.2019 </w:t>
            </w:r>
            <w:hyperlink r:id="rId195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196">
              <w:r>
                <w:rPr>
                  <w:color w:val="0000FF"/>
                </w:rPr>
                <w:t>N 430-р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hyperlink r:id="rId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693, </w:t>
            </w:r>
            <w:hyperlink r:id="rId1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</w:t>
            </w:r>
          </w:p>
          <w:p w:rsidR="006B0AC9" w:rsidRDefault="006B0AC9">
            <w:pPr>
              <w:pStyle w:val="ConsPlusNormal"/>
              <w:jc w:val="both"/>
            </w:pPr>
            <w:r>
              <w:t>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32" w:name="P2433"/>
            <w:bookmarkEnd w:id="32"/>
            <w:r>
              <w:t>1.7.1.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ВЛ 220 кВ Февральская - Рудная с ПС 220 кВ Рудная с постановкой под напряжение для проведения пусконаладочных работ в 2019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обеспечено технологическое присоединение энергопринимающих устройств крупных потребителей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199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200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201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1.7.2.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ВЛ 220 кВ Маккавеево - Чита с постановкой под напряжение для проведения пусконаладочных работ в 2024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надежности электроснабжения г. Читы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202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203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204">
              <w:r>
                <w:rPr>
                  <w:color w:val="0000FF"/>
                </w:rPr>
                <w:t>N 430-р</w:t>
              </w:r>
            </w:hyperlink>
            <w:r>
              <w:t xml:space="preserve">, от 09.12.2022 </w:t>
            </w:r>
            <w:hyperlink r:id="rId205">
              <w:r>
                <w:rPr>
                  <w:color w:val="0000FF"/>
                </w:rPr>
                <w:t>N 3867-р</w:t>
              </w:r>
            </w:hyperlink>
            <w:r>
              <w:t xml:space="preserve">, </w:t>
            </w:r>
            <w:hyperlink r:id="rId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</w:t>
            </w:r>
          </w:p>
          <w:p w:rsidR="006B0AC9" w:rsidRDefault="006B0AC9">
            <w:pPr>
              <w:pStyle w:val="ConsPlusNormal"/>
              <w:jc w:val="both"/>
            </w:pPr>
            <w:r>
              <w:t>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1.7.3.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Строительство ПС 220 кВ Восточная промзона трансформаторной мощностью 560 МВА (2 x 200 МВА и 2 x 80 </w:t>
            </w:r>
            <w:r>
              <w:lastRenderedPageBreak/>
              <w:t>МВА), строительство заходов ВЛ 220 кВ Кубанская - Краснодарская ТЭЦ N 1 и 2 на ПС 220 кВ Восточная промзона ориентировочной протяженностью 16 км с постановкой под напряжение для проведения пусконаладочных работ в 2018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обеспечение присоединения новых потребителей северо-восточной части г. Краснодара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 xml:space="preserve">публичное акционерное общество </w:t>
            </w:r>
            <w:r>
              <w:lastRenderedPageBreak/>
              <w:t>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17.08.2019 </w:t>
            </w:r>
            <w:hyperlink r:id="rId207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208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209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1.7.4.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КЛ 220 кВ Лесная - Хованская 1, 2 с постановкой под напряжение для проведения пусконаладочных работ в 2019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технологического присоединения потребителей присоединенных территорий города Москвы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"Российские 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210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211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212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1.7.5.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ПС 500 кВ Преображенская с заходами ВЛ 500 кВ Красноармейская - Газовая и ВЛ 220 кВ Бузулукская - Сорочинская (501 МВА, 5,69 км) (1, 2, 4, 5 этапы) с постановкой под напряжение для проведения пусконаладочных работ в 2019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технологического присоединения новых потребителей Западного энергорайона Оренбургской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213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214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215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1.7.6.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ПС Промпарк с ВЛ 220 кВ Владивосток - Промпарк протяженностью 30 км с расширением ОРУ 220 кВ ПС 500 кВ Владивосток на две ячейки 220 кВ с постановкой под напряжение для проведения пусконаладочных работ в 2019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технологического присоединения объектов энергопринимающих устройств акционерного общества "Корпорация развития Дальнего Востока"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216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217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218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1.7.7.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двух ВЛ 220 кВ Призейская - Эльгауголь с ПС 220 кВ Эльгауголь с постановкой под напряжение для проведения пусконаладочных работ в 2024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технологическое присоединение угольного месторождения Эльга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219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220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221">
              <w:r>
                <w:rPr>
                  <w:color w:val="0000FF"/>
                </w:rPr>
                <w:t>N 430-р</w:t>
              </w:r>
            </w:hyperlink>
            <w:r>
              <w:t xml:space="preserve">, </w:t>
            </w:r>
            <w:hyperlink r:id="rId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распоряжений Правительства РФ от 18.05.2023 </w:t>
            </w:r>
            <w:hyperlink r:id="rId223">
              <w:r>
                <w:rPr>
                  <w:color w:val="0000FF"/>
                </w:rPr>
                <w:t>N 1288-р</w:t>
              </w:r>
            </w:hyperlink>
            <w:r>
              <w:t xml:space="preserve">, от 31.08.2024 </w:t>
            </w:r>
            <w:hyperlink r:id="rId224">
              <w:r>
                <w:rPr>
                  <w:color w:val="0000FF"/>
                </w:rPr>
                <w:t>N 2388-р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1.7.8.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ПС 220 кВ Ермак с заходом одной цепи ВЛ 220 кВ Уренгойская ГРЭС - Мангазея с постановкой под напряжение для проведения пусконаладочных работ в 2018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технологического присоединения новых объектов нефтеперекачивающих станций нефтепровода Заполярье - Пурпе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Единой энергетической системы"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225">
              <w:r>
                <w:rPr>
                  <w:color w:val="0000FF"/>
                </w:rPr>
                <w:t>N 1844-р</w:t>
              </w:r>
            </w:hyperlink>
            <w:r>
              <w:t xml:space="preserve">, от 13.03.2020 </w:t>
            </w:r>
            <w:hyperlink r:id="rId226">
              <w:r>
                <w:rPr>
                  <w:color w:val="0000FF"/>
                </w:rPr>
                <w:t>N 610-р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20.02.2021 </w:t>
            </w:r>
            <w:hyperlink r:id="rId227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bookmarkStart w:id="33" w:name="P2499"/>
            <w:bookmarkEnd w:id="33"/>
            <w:r>
              <w:lastRenderedPageBreak/>
              <w:t>1.7.9.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ВЛ 500 кВ Приморская ГРЭС - Владивосток с постановкой под напряжение для проведения пусконаладочных работ в 2025 году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технологического присоединения объектов энергопринимающих устройств общества с ограниченной ответственностью "Приморский металлургический завод"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1.7.9 введен </w:t>
            </w:r>
            <w:hyperlink r:id="rId22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по энергоснабжению тяговых подстанций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1.8 введен </w:t>
            </w:r>
            <w:hyperlink r:id="rId23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20.02.2021 N 430-р)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1.8.1 - 1.8.3.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Исключены. - </w:t>
            </w:r>
            <w:hyperlink r:id="rId23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09.12.2022 N 3867-р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1.8.4.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Строительство генерирующего объекта Новоленская ТЭС установленной мощностью 550 МВт, линейного объекта "Газоснабжение Новоленской ТЭС. Магистральный газопровод УКПГ СБНГКМ - Новоленская ТЭС"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2023 - 2028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 публичное акционерное общество "Интер РАО ЕЭС"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20.02.2024 </w:t>
            </w:r>
            <w:hyperlink r:id="rId232">
              <w:r>
                <w:rPr>
                  <w:color w:val="0000FF"/>
                </w:rPr>
                <w:t>N 383-р</w:t>
              </w:r>
            </w:hyperlink>
            <w:r>
              <w:t xml:space="preserve">, от 31.08.2024 </w:t>
            </w:r>
            <w:hyperlink r:id="rId233">
              <w:r>
                <w:rPr>
                  <w:color w:val="0000FF"/>
                </w:rPr>
                <w:t>N 2388-р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1.8.5.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Реализация мероприятий по сооружению объектов электрической сети для </w:t>
            </w:r>
            <w:r>
              <w:lastRenderedPageBreak/>
              <w:t>покрытия нагрузок тяговых подстанций второго этапа развития Восточного полигона железных дорог открытого акционерного общества "Российские железные дороги" в Совгаванском районе Хабаровского края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обеспечение электроснабжения тяговых подстанций второго этапа развития Восточного полигона железных дорог </w:t>
            </w:r>
            <w:r>
              <w:lastRenderedPageBreak/>
              <w:t>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2021 - 2025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Россети",</w:t>
            </w:r>
          </w:p>
          <w:p w:rsidR="006B0AC9" w:rsidRDefault="006B0AC9">
            <w:pPr>
              <w:pStyle w:val="ConsPlusNormal"/>
            </w:pPr>
            <w:r>
              <w:lastRenderedPageBreak/>
              <w:t>публичное акционерное общество "Федеральная гидрогенерирующая компания - РусГидро",</w:t>
            </w:r>
          </w:p>
          <w:p w:rsidR="006B0AC9" w:rsidRDefault="006B0AC9">
            <w:pPr>
              <w:pStyle w:val="ConsPlusNormal"/>
            </w:pPr>
            <w:r>
              <w:t>сетевые организации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(п. 1.8.5 введен </w:t>
            </w:r>
            <w:hyperlink r:id="rId2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20.02.2021 N 430-р;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1.8.6.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Разработка и согласование схемы выдачи мощности Партизанской ГРЭС с учетом увеличения ее установленной мощности на 280 МВт для покрытия нагрузок тяговых подстанций второго этапа развития Восточного полигона железных дорог открытого акционерного общества "Российские железные дороги" на юге Приморского края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РусГидро",</w:t>
            </w:r>
          </w:p>
          <w:p w:rsidR="006B0AC9" w:rsidRDefault="006B0AC9">
            <w:pPr>
              <w:pStyle w:val="ConsPlusNormal"/>
            </w:pPr>
            <w:r>
              <w:t>проектная организация, акционерное общество "Системный оператор Единой энергетической системы",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"Российские сети",</w:t>
            </w:r>
          </w:p>
          <w:p w:rsidR="006B0AC9" w:rsidRDefault="006B0AC9">
            <w:pPr>
              <w:pStyle w:val="ConsPlusNormal"/>
            </w:pPr>
            <w:r>
              <w:t>сетевые организации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1.8.6 введен </w:t>
            </w:r>
            <w:hyperlink r:id="rId23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20.02.2021 N 430-р)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1.8.7.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Реализация мероприятий по сооружению схемы выдачи мощности Партизанской ГРЭС с учетом увеличения ее установленной мощности на 280 МВт для покрытия нагрузок тяговых подстанций второго этапа развития Восточного </w:t>
            </w:r>
            <w:r>
              <w:lastRenderedPageBreak/>
              <w:t>полигона железных дорог открытого акционерного общества "Российские железные дороги" на юге Приморского края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2021 - 2026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РусГидро",</w:t>
            </w:r>
          </w:p>
          <w:p w:rsidR="006B0AC9" w:rsidRDefault="006B0AC9">
            <w:pPr>
              <w:pStyle w:val="ConsPlusNormal"/>
            </w:pPr>
            <w:r>
              <w:t>сетевые организации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1.8.7 введен </w:t>
            </w:r>
            <w:hyperlink r:id="rId23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20.02.2021 N 430-р;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1.8.8.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Разработка и согласование схемы выдачи мощности Нерюнгринской ГРЭС (Сооружение 2 энергоблоков мощностью 215 МВт каждый)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РусГидро",</w:t>
            </w:r>
          </w:p>
          <w:p w:rsidR="006B0AC9" w:rsidRDefault="006B0AC9">
            <w:pPr>
              <w:pStyle w:val="ConsPlusNormal"/>
            </w:pPr>
            <w:r>
              <w:t>проектная организация,</w:t>
            </w:r>
          </w:p>
          <w:p w:rsidR="006B0AC9" w:rsidRDefault="006B0AC9">
            <w:pPr>
              <w:pStyle w:val="ConsPlusNormal"/>
            </w:pPr>
            <w:r>
              <w:t>акционерное общество "Системный оператор Единой энергетической системы",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"Российские сети",</w:t>
            </w:r>
          </w:p>
          <w:p w:rsidR="006B0AC9" w:rsidRDefault="006B0AC9">
            <w:pPr>
              <w:pStyle w:val="ConsPlusNormal"/>
            </w:pPr>
            <w:r>
              <w:t>сетевые организации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1.8.8 введен </w:t>
            </w:r>
            <w:hyperlink r:id="rId23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20.02.2021 N 430-р)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1.8.9.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мероприятий по сооружению схемы выдачи мощности Нерюнгринской ГРЭС (сооружение 2 энергоблоков мощностью 215 МВт каждый)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электроснабжения тяговых подстанций второго этапа развития Восточного полигона железных дорог открытого акционерного общества "Российские железные дороги"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РусГидро",</w:t>
            </w:r>
          </w:p>
          <w:p w:rsidR="006B0AC9" w:rsidRDefault="006B0AC9">
            <w:pPr>
              <w:pStyle w:val="ConsPlusNormal"/>
            </w:pPr>
            <w:r>
              <w:t>сетевые организации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1.8.9 введен </w:t>
            </w:r>
            <w:hyperlink r:id="rId24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20.02.2021 N 430-р;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Реализация комплекса мероприятий по восстановлению </w:t>
            </w:r>
            <w:r>
              <w:lastRenderedPageBreak/>
              <w:t>и модернизации электросетевого хозяйства Северо-Кавказского федерального округа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 xml:space="preserve">обеспечение надежного электроснабжения потребителей </w:t>
            </w:r>
            <w:r>
              <w:lastRenderedPageBreak/>
              <w:t>Северо-Кавказского федерального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2021 - 2025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заместитель Министра энергетики Российской Федерации Грабчак </w:t>
            </w:r>
            <w:r>
              <w:lastRenderedPageBreak/>
              <w:t>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(п. 1.9 введен </w:t>
            </w:r>
            <w:hyperlink r:id="rId2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1.9.1.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мероприятий по повышению надежности электросетевого комплекса Республики Дагестан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повышение надежности электроснабжения потребителей и доведение оборудования до нормативного технического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2022 - 2025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1.9.1 введен </w:t>
            </w:r>
            <w:hyperlink r:id="rId24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693, </w:t>
            </w:r>
            <w:hyperlink r:id="rId246">
              <w:r>
                <w:rPr>
                  <w:color w:val="0000FF"/>
                </w:rPr>
                <w:t>распоряжения</w:t>
              </w:r>
            </w:hyperlink>
          </w:p>
          <w:p w:rsidR="006B0AC9" w:rsidRDefault="006B0AC9">
            <w:pPr>
              <w:pStyle w:val="ConsPlusNormal"/>
              <w:jc w:val="both"/>
            </w:pPr>
            <w:r>
              <w:t>Правительства 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1.9.2.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мероприятий по повышению надежности электросетевого комплекса Республики Ингушетия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повышение надежности электроснабжения потребителей и доведение оборудования до нормативного технического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2023 - 2025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1.9.2 введен </w:t>
            </w:r>
            <w:hyperlink r:id="rId24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1.9.3.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мероприятий по повышению надежности электросетевого комплекса Чеченской Республики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повышение надежности электроснабжения потребителей и доведение оборудования до нормативного технического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2022 - 2025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(п. 1.9.3 введен </w:t>
            </w:r>
            <w:hyperlink r:id="rId24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1.9.4.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комплекса первоочередных мероприятий в целях подготовки к отопительному сезону в Республике Дагестан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восстановление распределительных сетей электроснабжения, приобретение автотранспорта и специальной техники, доукомплектование приборами и приспособлениями, а также аварийным запасом необходимого оборудования оперативно-выездных бригад и персонала, выполняющих ремонт объектов электросетевого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2021 - 2023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1.9.4 введен </w:t>
            </w:r>
            <w:hyperlink r:id="rId25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комплекса мероприятий по восстановлению и модернизации электросетевого хозяйства Северо-Западного федерального округа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надежного электроснабжения потребителей Северо-Западного федерального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2023 - 2025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1.10 введен </w:t>
            </w:r>
            <w:hyperlink r:id="rId25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1.10.1.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мероприятий по повышению надежности электросетевого комплекса Новгородской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повышение надежности электроснабжения потребителей и доведение оборудования до нормативного технического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2023 - 2024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1.10.1 введен </w:t>
            </w:r>
            <w:hyperlink r:id="rId2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1.10.2.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мероприятий по повышению надежности электросетевого комплекса Псковской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повышение надежности электроснабжения потребителей и доведение оборудования до нормативного технического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2023 - 2024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1.10.2 введен </w:t>
            </w:r>
            <w:hyperlink r:id="rId25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1.10.3.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мероприятий по повышению надежности электросетевого комплекса Архангельской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повышение надежности электроснабжения потребителей и доведение оборудования до нормативного технического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2023 - 2025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1.10.3 введен </w:t>
            </w:r>
            <w:hyperlink r:id="rId25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1.10.4.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мероприятий по повышению надежности электросетевого комплекса Республики Карелия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повышение надежности электроснабжения потребителей и доведение оборудования до нормативного технического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2023 - 2025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1.10.4 введен </w:t>
            </w:r>
            <w:hyperlink r:id="rId26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 xml:space="preserve">Реализация комплекса мероприятий по восстановлению и модернизации электросетевого хозяйства Центрального федерального </w:t>
            </w:r>
            <w:r>
              <w:lastRenderedPageBreak/>
              <w:t>округа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lastRenderedPageBreak/>
              <w:t>обеспечение надежного электроснабжения потребителей Центрального федерального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2023 - 2024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 xml:space="preserve">публичное акционерное общество "Федеральная сетевая компания - </w:t>
            </w:r>
            <w:r>
              <w:lastRenderedPageBreak/>
              <w:t>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(п. 1.11 введен </w:t>
            </w:r>
            <w:hyperlink r:id="rId26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1.11.1.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мероприятий по повышению надежности электросетевого комплекса Тверской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повышение надежности электроснабжения потребителей и доведение оборудования до нормативного технического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2023 - 2024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1.11.1 введен </w:t>
            </w:r>
            <w:hyperlink r:id="rId26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09.12.2022 N 3867-р;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в ред. </w:t>
            </w:r>
            <w:hyperlink r:id="rId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комплекса мероприятий по восстановлению и модернизации электросетевого хозяйства Южного федерального округа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обеспечение надежного электроснабжения потребителей Южного федерального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2023 - 2028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1.12 введен </w:t>
            </w:r>
            <w:hyperlink r:id="rId26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1.12.1.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Реализация мероприятий по повышению надежности электросетевого комплекса Астраханской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повышение надежности электроснабжения потребителей и доведение оборудования до нормативного технического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2023 - 2028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(п. 1.12.1 введен </w:t>
            </w:r>
            <w:hyperlink r:id="rId2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18.05.2023 N 1288-р)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 xml:space="preserve">2. Задача "Развитие распределенной генерации на основе возобновляемых источников энергии в удаленных и изолированных энергорайонах, в том числе в целях внедрения энергосберегающих и энергоэффективных технологий в Арктической зоне Российской Федерации и на территориях </w:t>
            </w:r>
            <w:r>
              <w:lastRenderedPageBreak/>
              <w:t>Крайнего Севера"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 xml:space="preserve">(в ред. </w:t>
            </w:r>
            <w:hyperlink r:id="rId2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20.02.2021 N 430-р)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Внедрен механизм поддержки использования распределенной генерации на основе возобновляемых источников энергии в удаленных и изолированных энергорайонах, в том числе в целях внедрения энергосберегающих и энергоэффективных технологий в Арктической зоне Российской Федерации и на территориях Крайнего Севера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увеличены объемы производства электрической энергии в изолированных энергорайонах на базе возобновляемых источников (энергия воды, ветра, солнца);</w:t>
            </w:r>
          </w:p>
          <w:p w:rsidR="006B0AC9" w:rsidRDefault="006B0AC9">
            <w:pPr>
              <w:pStyle w:val="ConsPlusNormal"/>
            </w:pPr>
            <w:r>
              <w:t>повышена энергобезопасность снабжения потребителей данных регионов электрической энергией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269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270">
              <w:r>
                <w:rPr>
                  <w:color w:val="0000FF"/>
                </w:rPr>
                <w:t>N 430-р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Реализованы мероприятия по сооружению объектов распределенной генерации, в том числе на основе возобновляемых источников энергии, с использованием механизма поддержки развития распределенной генерации в удаленных и изолированных энергорайонах субъектов Российской Федерации, обоснованные в схемах и программах развития электроэнергетики субъектов Российской Федерации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снижены затраты на энергоснабжение потребителей, расположенных в удаленных и изолированных энергорайонах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Сниккарс П.Н.,</w:t>
            </w:r>
          </w:p>
          <w:p w:rsidR="006B0AC9" w:rsidRDefault="006B0AC9">
            <w:pPr>
              <w:pStyle w:val="ConsPlusNormal"/>
            </w:pPr>
            <w:r>
              <w:t>высшие должностные лица субъектов Российской Федерации,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сетевая компания - Россети",</w:t>
            </w:r>
          </w:p>
          <w:p w:rsidR="006B0AC9" w:rsidRDefault="006B0AC9">
            <w:pPr>
              <w:pStyle w:val="ConsPlusNormal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17.08.2019 </w:t>
            </w:r>
            <w:hyperlink r:id="rId271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272">
              <w:r>
                <w:rPr>
                  <w:color w:val="0000FF"/>
                </w:rPr>
                <w:t>N 430-р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hyperlink r:id="rId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04.05.2023 N 693)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  <w:outlineLvl w:val="4"/>
            </w:pPr>
            <w:r>
              <w:t>3. Задача "Внедрение интеллектуальных систем управления электросетевым хозяйством на базе цифровых технологий"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(в ред. </w:t>
            </w:r>
            <w:hyperlink r:id="rId2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20.02.2021 N 430-р)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Управление электросетевым хозяйством осуществляется с применением интеллектуальных систем управления на базе цифровых технологий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созданы основы единой среды взаимодействия на основе цифровых информационных моделей; внедрено риск-ориентированное управление с использованием цифровых технологий; реализованы проекты с применением аналитических продуктов для прогнозирования, выявления, анализа и оценки рисков аварий на объектах электроэнергетики; повышена полнота, достоверность и оперативность сбора исходной информации для расчета показателей надежности оказания услуг сетевыми организациями; обеспечено внедрение интеллектуальных систем управления электросетевым хозяйством, функционирующих на принципах поддержки единого информационного пространства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заместитель Министра энергетики Российской Федерации Грабчак Е.П.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(в ред. распоряжений Правительства РФ от 17.08.2019 </w:t>
            </w:r>
            <w:hyperlink r:id="rId275">
              <w:r>
                <w:rPr>
                  <w:color w:val="0000FF"/>
                </w:rPr>
                <w:t>N 1844-р</w:t>
              </w:r>
            </w:hyperlink>
            <w:r>
              <w:t xml:space="preserve">, от 20.02.2021 </w:t>
            </w:r>
            <w:hyperlink r:id="rId276">
              <w:r>
                <w:rPr>
                  <w:color w:val="0000FF"/>
                </w:rPr>
                <w:t>N 430-р</w:t>
              </w:r>
            </w:hyperlink>
            <w:r>
              <w:t>,</w:t>
            </w:r>
          </w:p>
          <w:p w:rsidR="006B0AC9" w:rsidRDefault="006B0AC9">
            <w:pPr>
              <w:pStyle w:val="ConsPlusNormal"/>
              <w:jc w:val="both"/>
            </w:pPr>
            <w:r>
              <w:t xml:space="preserve">от 18.05.2023 </w:t>
            </w:r>
            <w:hyperlink r:id="rId277">
              <w:r>
                <w:rPr>
                  <w:color w:val="0000FF"/>
                </w:rPr>
                <w:t>N 1288-р</w:t>
              </w:r>
            </w:hyperlink>
            <w:r>
              <w:t>)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3.2 - 3.3.</w:t>
            </w:r>
          </w:p>
        </w:tc>
        <w:tc>
          <w:tcPr>
            <w:tcW w:w="128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both"/>
            </w:pPr>
            <w:r>
              <w:t xml:space="preserve">Исключены. - </w:t>
            </w:r>
            <w:hyperlink r:id="rId27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18.05.2023 N 1288-р</w:t>
            </w:r>
          </w:p>
        </w:tc>
      </w:tr>
    </w:tbl>
    <w:p w:rsidR="006B0AC9" w:rsidRDefault="006B0AC9">
      <w:pPr>
        <w:pStyle w:val="ConsPlusNormal"/>
        <w:sectPr w:rsidR="006B0AC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>--------------------------------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 xml:space="preserve">&lt;*&gt; Сноска исключена. - </w:t>
      </w:r>
      <w:hyperlink r:id="rId279">
        <w:r>
          <w:rPr>
            <w:color w:val="0000FF"/>
          </w:rPr>
          <w:t>Распоряжение</w:t>
        </w:r>
      </w:hyperlink>
      <w:r>
        <w:t xml:space="preserve"> Правительства РФ от 20.02.2021 N 430-р.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34" w:name="P2710"/>
      <w:bookmarkEnd w:id="34"/>
      <w:r>
        <w:t xml:space="preserve">&lt;**&gt; Датой окончания срока постановки объекта под напряжение для объектов электросетевого хозяйства, предусмотренных </w:t>
      </w:r>
      <w:hyperlink w:anchor="P2124">
        <w:r>
          <w:rPr>
            <w:color w:val="0000FF"/>
          </w:rPr>
          <w:t>позициями 1.5.1</w:t>
        </w:r>
      </w:hyperlink>
      <w:r>
        <w:t xml:space="preserve">, </w:t>
      </w:r>
      <w:hyperlink w:anchor="P2133">
        <w:r>
          <w:rPr>
            <w:color w:val="0000FF"/>
          </w:rPr>
          <w:t>1.5.2</w:t>
        </w:r>
      </w:hyperlink>
      <w:r>
        <w:t xml:space="preserve">, </w:t>
      </w:r>
      <w:hyperlink w:anchor="P2146">
        <w:r>
          <w:rPr>
            <w:color w:val="0000FF"/>
          </w:rPr>
          <w:t>1.5.5</w:t>
        </w:r>
      </w:hyperlink>
      <w:r>
        <w:t xml:space="preserve"> - </w:t>
      </w:r>
      <w:hyperlink w:anchor="P2234">
        <w:r>
          <w:rPr>
            <w:color w:val="0000FF"/>
          </w:rPr>
          <w:t>1.5.16</w:t>
        </w:r>
      </w:hyperlink>
      <w:r>
        <w:t xml:space="preserve">, </w:t>
      </w:r>
      <w:hyperlink w:anchor="P2244">
        <w:r>
          <w:rPr>
            <w:color w:val="0000FF"/>
          </w:rPr>
          <w:t>1.5.18</w:t>
        </w:r>
      </w:hyperlink>
      <w:r>
        <w:t xml:space="preserve"> - </w:t>
      </w:r>
      <w:hyperlink w:anchor="P2260">
        <w:r>
          <w:rPr>
            <w:color w:val="0000FF"/>
          </w:rPr>
          <w:t>1.5.20</w:t>
        </w:r>
      </w:hyperlink>
      <w:r>
        <w:t xml:space="preserve">, </w:t>
      </w:r>
      <w:hyperlink w:anchor="P2270">
        <w:r>
          <w:rPr>
            <w:color w:val="0000FF"/>
          </w:rPr>
          <w:t>1.5.25</w:t>
        </w:r>
      </w:hyperlink>
      <w:r>
        <w:t xml:space="preserve"> - </w:t>
      </w:r>
      <w:hyperlink w:anchor="P2335">
        <w:r>
          <w:rPr>
            <w:color w:val="0000FF"/>
          </w:rPr>
          <w:t>1.5.31</w:t>
        </w:r>
      </w:hyperlink>
      <w:r>
        <w:t xml:space="preserve"> и </w:t>
      </w:r>
      <w:hyperlink w:anchor="P2433">
        <w:r>
          <w:rPr>
            <w:color w:val="0000FF"/>
          </w:rPr>
          <w:t>1.7.1</w:t>
        </w:r>
      </w:hyperlink>
      <w:r>
        <w:t xml:space="preserve"> - </w:t>
      </w:r>
      <w:hyperlink w:anchor="P2499">
        <w:r>
          <w:rPr>
            <w:color w:val="0000FF"/>
          </w:rPr>
          <w:t>1.7.9</w:t>
        </w:r>
      </w:hyperlink>
      <w:r>
        <w:t>, считается наиболее поздняя из дат получения (оформления) следующих документов:</w:t>
      </w:r>
    </w:p>
    <w:p w:rsidR="006B0AC9" w:rsidRDefault="006B0AC9">
      <w:pPr>
        <w:pStyle w:val="ConsPlusNormal"/>
        <w:jc w:val="both"/>
      </w:pPr>
      <w:r>
        <w:t xml:space="preserve">(в ред. </w:t>
      </w:r>
      <w:hyperlink r:id="rId280">
        <w:r>
          <w:rPr>
            <w:color w:val="0000FF"/>
          </w:rPr>
          <w:t>распоряжения</w:t>
        </w:r>
      </w:hyperlink>
      <w:r>
        <w:t xml:space="preserve"> Правительства РФ от 09.12.2022 N 3867-р)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разрешение Ростехнадзора на допуск в эксплуатацию энергоустановки (объекта) (в том числе на период пусконаладочных работ);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акт о выполнении субъектом электроэнергетики технических условий, согласованный соответствующим субъектом оперативно-диспетчерского управления (в случае если технические условия были согласованы с субъектом оперативно-диспетчерского управления).</w:t>
      </w:r>
    </w:p>
    <w:p w:rsidR="006B0AC9" w:rsidRDefault="006B0AC9">
      <w:pPr>
        <w:pStyle w:val="ConsPlusNormal"/>
        <w:jc w:val="both"/>
      </w:pPr>
      <w:r>
        <w:t xml:space="preserve">(сноска введена </w:t>
      </w:r>
      <w:hyperlink r:id="rId281">
        <w:r>
          <w:rPr>
            <w:color w:val="0000FF"/>
          </w:rPr>
          <w:t>распоряжением</w:t>
        </w:r>
      </w:hyperlink>
      <w:r>
        <w:t xml:space="preserve"> Правительства РФ от 13.03.2020 N 610-р)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35" w:name="P2715"/>
      <w:bookmarkEnd w:id="35"/>
      <w:r>
        <w:t>&lt;***&gt; Датой окончания срока реализации мероприятий считается: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 xml:space="preserve">для генерирующих объектов, предусмотренных </w:t>
      </w:r>
      <w:hyperlink w:anchor="P2036">
        <w:r>
          <w:rPr>
            <w:color w:val="0000FF"/>
          </w:rPr>
          <w:t>позициями 1.4.1</w:t>
        </w:r>
      </w:hyperlink>
      <w:r>
        <w:t xml:space="preserve"> - </w:t>
      </w:r>
      <w:hyperlink w:anchor="P2095">
        <w:r>
          <w:rPr>
            <w:color w:val="0000FF"/>
          </w:rPr>
          <w:t>1.4.8</w:t>
        </w:r>
      </w:hyperlink>
      <w:r>
        <w:t xml:space="preserve"> и </w:t>
      </w:r>
      <w:hyperlink w:anchor="P2376">
        <w:r>
          <w:rPr>
            <w:color w:val="0000FF"/>
          </w:rPr>
          <w:t>1.6.13</w:t>
        </w:r>
      </w:hyperlink>
      <w:r>
        <w:t>, - дата получения разрешения на ввод объекта в эксплуатацию;</w:t>
      </w:r>
    </w:p>
    <w:p w:rsidR="006B0AC9" w:rsidRDefault="006B0AC9">
      <w:pPr>
        <w:pStyle w:val="ConsPlusNormal"/>
        <w:jc w:val="both"/>
      </w:pPr>
      <w:r>
        <w:t xml:space="preserve">(в ред. </w:t>
      </w:r>
      <w:hyperlink r:id="rId282">
        <w:r>
          <w:rPr>
            <w:color w:val="0000FF"/>
          </w:rPr>
          <w:t>распоряжения</w:t>
        </w:r>
      </w:hyperlink>
      <w:r>
        <w:t xml:space="preserve"> Правительства РФ от 09.12.2022 N 3867-р)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 xml:space="preserve">для объектов электросетевого хозяйства, предусмотренных позициями </w:t>
      </w:r>
      <w:hyperlink w:anchor="P2124">
        <w:r>
          <w:rPr>
            <w:color w:val="0000FF"/>
          </w:rPr>
          <w:t>1.5.1</w:t>
        </w:r>
      </w:hyperlink>
      <w:r>
        <w:t xml:space="preserve">, </w:t>
      </w:r>
      <w:hyperlink w:anchor="P2133">
        <w:r>
          <w:rPr>
            <w:color w:val="0000FF"/>
          </w:rPr>
          <w:t>1.5.2</w:t>
        </w:r>
      </w:hyperlink>
      <w:r>
        <w:t xml:space="preserve">, </w:t>
      </w:r>
      <w:hyperlink w:anchor="P2146">
        <w:r>
          <w:rPr>
            <w:color w:val="0000FF"/>
          </w:rPr>
          <w:t>1.5.5</w:t>
        </w:r>
      </w:hyperlink>
      <w:r>
        <w:t xml:space="preserve"> - </w:t>
      </w:r>
      <w:hyperlink w:anchor="P2234">
        <w:r>
          <w:rPr>
            <w:color w:val="0000FF"/>
          </w:rPr>
          <w:t>1.5.16</w:t>
        </w:r>
      </w:hyperlink>
      <w:r>
        <w:t xml:space="preserve">, </w:t>
      </w:r>
      <w:hyperlink w:anchor="P2244">
        <w:r>
          <w:rPr>
            <w:color w:val="0000FF"/>
          </w:rPr>
          <w:t>1.5.18</w:t>
        </w:r>
      </w:hyperlink>
      <w:r>
        <w:t xml:space="preserve"> - </w:t>
      </w:r>
      <w:hyperlink w:anchor="P2344">
        <w:r>
          <w:rPr>
            <w:color w:val="0000FF"/>
          </w:rPr>
          <w:t>1.5.42</w:t>
        </w:r>
      </w:hyperlink>
      <w:r>
        <w:t xml:space="preserve">, </w:t>
      </w:r>
      <w:hyperlink w:anchor="P2384">
        <w:r>
          <w:rPr>
            <w:color w:val="0000FF"/>
          </w:rPr>
          <w:t>1.6.14</w:t>
        </w:r>
      </w:hyperlink>
      <w:r>
        <w:t xml:space="preserve">, </w:t>
      </w:r>
      <w:hyperlink w:anchor="P2392">
        <w:r>
          <w:rPr>
            <w:color w:val="0000FF"/>
          </w:rPr>
          <w:t>1.6.15</w:t>
        </w:r>
      </w:hyperlink>
      <w:r>
        <w:t xml:space="preserve"> и </w:t>
      </w:r>
      <w:hyperlink w:anchor="P2433">
        <w:r>
          <w:rPr>
            <w:color w:val="0000FF"/>
          </w:rPr>
          <w:t>1.7.1</w:t>
        </w:r>
      </w:hyperlink>
      <w:r>
        <w:t xml:space="preserve"> - </w:t>
      </w:r>
      <w:hyperlink w:anchor="P2499">
        <w:r>
          <w:rPr>
            <w:color w:val="0000FF"/>
          </w:rPr>
          <w:t>1.7.9</w:t>
        </w:r>
      </w:hyperlink>
      <w:r>
        <w:t>, - наиболее поздняя из дат получения (оформления) следующих документов:</w:t>
      </w:r>
    </w:p>
    <w:p w:rsidR="006B0AC9" w:rsidRDefault="006B0AC9">
      <w:pPr>
        <w:pStyle w:val="ConsPlusNormal"/>
        <w:jc w:val="both"/>
      </w:pPr>
      <w:r>
        <w:t xml:space="preserve">(в ред. </w:t>
      </w:r>
      <w:hyperlink r:id="rId283">
        <w:r>
          <w:rPr>
            <w:color w:val="0000FF"/>
          </w:rPr>
          <w:t>распоряжения</w:t>
        </w:r>
      </w:hyperlink>
      <w:r>
        <w:t xml:space="preserve"> Правительства РФ от 09.12.2022 N 3867-р)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акт приемки законченного строительством объекта приемочной комиссией;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разрешение Ростехнадзора на допуск в эксплуатацию энергоустановки (объекта);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акт о выполнении субъектом электроэнергетики технических условий, согласованный соответствующим субъектом оперативно-диспетчерского управления (в случае если технические условия были согласованы субъектом оперативно-диспетчерского управления);</w:t>
      </w:r>
    </w:p>
    <w:p w:rsidR="006B0AC9" w:rsidRDefault="006B0AC9">
      <w:pPr>
        <w:pStyle w:val="ConsPlusNormal"/>
        <w:spacing w:before="220"/>
        <w:ind w:firstLine="540"/>
        <w:jc w:val="both"/>
      </w:pPr>
      <w:r>
        <w:t>акт комплексного опробования оборудования.</w:t>
      </w:r>
    </w:p>
    <w:p w:rsidR="006B0AC9" w:rsidRDefault="006B0AC9">
      <w:pPr>
        <w:pStyle w:val="ConsPlusNormal"/>
        <w:jc w:val="both"/>
      </w:pPr>
      <w:r>
        <w:t xml:space="preserve">(сноска введена </w:t>
      </w:r>
      <w:hyperlink r:id="rId284">
        <w:r>
          <w:rPr>
            <w:color w:val="0000FF"/>
          </w:rPr>
          <w:t>распоряжением</w:t>
        </w:r>
      </w:hyperlink>
      <w:r>
        <w:t xml:space="preserve"> Правительства РФ от 13.03.2020 N 610-р)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3"/>
      </w:pPr>
      <w:r>
        <w:t>4.2. Федеральный проект "Гарантированное</w:t>
      </w:r>
    </w:p>
    <w:p w:rsidR="006B0AC9" w:rsidRDefault="006B0AC9">
      <w:pPr>
        <w:pStyle w:val="ConsPlusTitle"/>
        <w:jc w:val="center"/>
      </w:pPr>
      <w:r>
        <w:t>обеспечение транспорта нефти, нефтепродуктов, газа</w:t>
      </w:r>
    </w:p>
    <w:p w:rsidR="006B0AC9" w:rsidRDefault="006B0AC9">
      <w:pPr>
        <w:pStyle w:val="ConsPlusTitle"/>
        <w:jc w:val="center"/>
      </w:pPr>
      <w:r>
        <w:t>и газового конденсата"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ind w:firstLine="540"/>
        <w:jc w:val="both"/>
      </w:pPr>
      <w:r>
        <w:t xml:space="preserve">Исключен. - </w:t>
      </w:r>
      <w:hyperlink r:id="rId285">
        <w:r>
          <w:rPr>
            <w:color w:val="0000FF"/>
          </w:rPr>
          <w:t>Распоряжение</w:t>
        </w:r>
      </w:hyperlink>
      <w:r>
        <w:t xml:space="preserve"> Правительства РФ от 13.04.2022 N 855-р.</w:t>
      </w: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Title"/>
        <w:jc w:val="center"/>
        <w:outlineLvl w:val="2"/>
      </w:pPr>
      <w:r>
        <w:t>5. Финансовое обеспечение энергетической части плана</w:t>
      </w:r>
    </w:p>
    <w:p w:rsidR="006B0AC9" w:rsidRDefault="006B0AC9">
      <w:pPr>
        <w:pStyle w:val="ConsPlusNormal"/>
        <w:jc w:val="center"/>
      </w:pPr>
    </w:p>
    <w:p w:rsidR="006B0AC9" w:rsidRDefault="006B0AC9">
      <w:pPr>
        <w:pStyle w:val="ConsPlusNormal"/>
        <w:ind w:firstLine="540"/>
        <w:jc w:val="both"/>
      </w:pPr>
      <w:r>
        <w:t xml:space="preserve">Исключен. - </w:t>
      </w:r>
      <w:hyperlink r:id="rId286">
        <w:r>
          <w:rPr>
            <w:color w:val="0000FF"/>
          </w:rPr>
          <w:t>Распоряжение</w:t>
        </w:r>
      </w:hyperlink>
      <w:r>
        <w:t xml:space="preserve"> Правительства РФ от 13.04.2022 N 855-р.</w:t>
      </w:r>
    </w:p>
    <w:p w:rsidR="006B0AC9" w:rsidRDefault="006B0AC9">
      <w:pPr>
        <w:pStyle w:val="ConsPlusNormal"/>
        <w:ind w:firstLine="540"/>
        <w:jc w:val="both"/>
      </w:pPr>
    </w:p>
    <w:p w:rsidR="006B0AC9" w:rsidRDefault="006B0AC9">
      <w:pPr>
        <w:pStyle w:val="ConsPlusTitle"/>
        <w:jc w:val="center"/>
        <w:outlineLvl w:val="2"/>
      </w:pPr>
      <w:r>
        <w:t>6. Финансовое обеспечение энергетической части плана</w:t>
      </w:r>
    </w:p>
    <w:p w:rsidR="006B0AC9" w:rsidRDefault="006B0AC9">
      <w:pPr>
        <w:pStyle w:val="ConsPlusNormal"/>
        <w:jc w:val="center"/>
      </w:pPr>
    </w:p>
    <w:p w:rsidR="006B0AC9" w:rsidRDefault="006B0AC9">
      <w:pPr>
        <w:pStyle w:val="ConsPlusNormal"/>
        <w:jc w:val="center"/>
      </w:pPr>
      <w:r>
        <w:t xml:space="preserve">(введен </w:t>
      </w:r>
      <w:hyperlink r:id="rId287">
        <w:r>
          <w:rPr>
            <w:color w:val="0000FF"/>
          </w:rPr>
          <w:t>распоряжением</w:t>
        </w:r>
      </w:hyperlink>
      <w:r>
        <w:t xml:space="preserve"> Правительства РФ от 18.05.2023 N 1288-р)</w:t>
      </w:r>
    </w:p>
    <w:p w:rsidR="006B0AC9" w:rsidRDefault="006B0AC9">
      <w:pPr>
        <w:pStyle w:val="ConsPlusNormal"/>
        <w:jc w:val="right"/>
      </w:pPr>
    </w:p>
    <w:p w:rsidR="006B0AC9" w:rsidRDefault="006B0AC9">
      <w:pPr>
        <w:pStyle w:val="ConsPlusNormal"/>
        <w:jc w:val="right"/>
      </w:pPr>
      <w:r>
        <w:t>(млн. рублей)</w:t>
      </w:r>
    </w:p>
    <w:p w:rsidR="006B0AC9" w:rsidRDefault="006B0AC9">
      <w:pPr>
        <w:pStyle w:val="ConsPlusNormal"/>
        <w:sectPr w:rsidR="006B0AC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935"/>
        <w:gridCol w:w="1134"/>
        <w:gridCol w:w="1134"/>
        <w:gridCol w:w="1134"/>
        <w:gridCol w:w="1134"/>
        <w:gridCol w:w="1134"/>
        <w:gridCol w:w="1134"/>
        <w:gridCol w:w="1191"/>
      </w:tblGrid>
      <w:tr w:rsidR="006B0AC9">
        <w:tc>
          <w:tcPr>
            <w:tcW w:w="472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lastRenderedPageBreak/>
              <w:t>Результат и 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Объем финансового обеспечения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2019 - 2024 годы - всего</w:t>
            </w:r>
          </w:p>
        </w:tc>
      </w:tr>
      <w:tr w:rsidR="006B0AC9">
        <w:tblPrEx>
          <w:tblBorders>
            <w:left w:val="single" w:sz="4" w:space="0" w:color="auto"/>
          </w:tblBorders>
        </w:tblPrEx>
        <w:tc>
          <w:tcPr>
            <w:tcW w:w="472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AC9" w:rsidRDefault="006B0AC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проект "Гарантированное обеспечение доступной электроэнергией" - 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890,8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6431,66 </w:t>
            </w:r>
            <w:hyperlink w:anchor="P29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1388,82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8711,28 </w:t>
            </w:r>
            <w:hyperlink w:anchor="P2917">
              <w:r>
                <w:rPr>
                  <w:color w:val="0000FF"/>
                </w:rPr>
                <w:t>&lt;*&gt;</w:t>
              </w:r>
            </w:hyperlink>
            <w:r>
              <w:t xml:space="preserve">,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890,8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6431,66 </w:t>
            </w:r>
            <w:hyperlink w:anchor="P29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1388,82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8711,28 </w:t>
            </w:r>
            <w:hyperlink w:anchor="P2917">
              <w:r>
                <w:rPr>
                  <w:color w:val="0000FF"/>
                </w:rPr>
                <w:t>&lt;*&gt;</w:t>
              </w:r>
            </w:hyperlink>
            <w:r>
              <w:t xml:space="preserve">,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предусмотрено (прогнозные предельные объемы)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890,8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6431,66 </w:t>
            </w:r>
            <w:hyperlink w:anchor="P29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1388,82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8711,28 </w:t>
            </w:r>
            <w:hyperlink w:anchor="P2917">
              <w:r>
                <w:rPr>
                  <w:color w:val="0000FF"/>
                </w:rPr>
                <w:t>&lt;*&gt;</w:t>
              </w:r>
            </w:hyperlink>
            <w:r>
              <w:t xml:space="preserve">,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по энергетической части плана - всего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890,8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6431,66 </w:t>
            </w:r>
            <w:hyperlink w:anchor="P29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1388,82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8711,28 </w:t>
            </w:r>
            <w:hyperlink w:anchor="P2917">
              <w:r>
                <w:rPr>
                  <w:color w:val="0000FF"/>
                </w:rPr>
                <w:t>&lt;*&gt;</w:t>
              </w:r>
            </w:hyperlink>
            <w:r>
              <w:t xml:space="preserve">,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федеральный бюджет - 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890,8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6431,66 </w:t>
            </w:r>
            <w:hyperlink w:anchor="P29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1388,82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8711,28 </w:t>
            </w:r>
            <w:hyperlink w:anchor="P2917">
              <w:r>
                <w:rPr>
                  <w:color w:val="0000FF"/>
                </w:rPr>
                <w:t>&lt;*&gt;</w:t>
              </w:r>
            </w:hyperlink>
            <w:r>
              <w:t xml:space="preserve">,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предусмотрено (прогнозные предельные объемы)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890,8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6431,66 </w:t>
            </w:r>
            <w:hyperlink w:anchor="P29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1388,82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 xml:space="preserve">8711,28 </w:t>
            </w:r>
            <w:hyperlink w:anchor="P2917">
              <w:r>
                <w:rPr>
                  <w:color w:val="0000FF"/>
                </w:rPr>
                <w:t>&lt;*&gt;</w:t>
              </w:r>
            </w:hyperlink>
            <w:r>
              <w:t xml:space="preserve">, </w:t>
            </w:r>
            <w:hyperlink w:anchor="P2918">
              <w:r>
                <w:rPr>
                  <w:color w:val="0000FF"/>
                </w:rPr>
                <w:t>&lt;**&gt;</w:t>
              </w:r>
            </w:hyperlink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284"/>
            </w:pPr>
            <w:r>
              <w:t>дополнительная потребность - 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ind w:left="567"/>
            </w:pPr>
            <w:r>
              <w:t>из них межбюджетные трансферты бюджетам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  <w:tr w:rsidR="006B0A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AC9" w:rsidRDefault="006B0AC9">
            <w:pPr>
              <w:pStyle w:val="ConsPlusNormal"/>
              <w:jc w:val="center"/>
            </w:pPr>
            <w:r>
              <w:t>-</w:t>
            </w:r>
          </w:p>
        </w:tc>
      </w:tr>
    </w:tbl>
    <w:p w:rsidR="006B0AC9" w:rsidRDefault="006B0AC9">
      <w:pPr>
        <w:pStyle w:val="ConsPlusNormal"/>
        <w:sectPr w:rsidR="006B0AC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B0AC9" w:rsidRDefault="006B0AC9">
      <w:pPr>
        <w:pStyle w:val="ConsPlusNormal"/>
        <w:ind w:firstLine="540"/>
        <w:jc w:val="both"/>
      </w:pPr>
    </w:p>
    <w:p w:rsidR="006B0AC9" w:rsidRDefault="006B0AC9">
      <w:pPr>
        <w:pStyle w:val="ConsPlusNormal"/>
        <w:ind w:firstLine="540"/>
        <w:jc w:val="both"/>
      </w:pPr>
      <w:r>
        <w:t>--------------------------------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36" w:name="P2917"/>
      <w:bookmarkEnd w:id="36"/>
      <w:r>
        <w:t xml:space="preserve">&lt;*&gt; Учтены средства неиспользованных взносов в уставный капитал, а также средства, полученные от их размещения (от размещения средств бюджетных инвестиций) на депозитах и банковских счетах, в размере 1831662 тыс. рублей, предусмотренные </w:t>
      </w:r>
      <w:hyperlink r:id="rId288">
        <w:r>
          <w:rPr>
            <w:color w:val="0000FF"/>
          </w:rPr>
          <w:t>частями 12</w:t>
        </w:r>
      </w:hyperlink>
      <w:r>
        <w:t xml:space="preserve"> - </w:t>
      </w:r>
      <w:hyperlink r:id="rId289">
        <w:r>
          <w:rPr>
            <w:color w:val="0000FF"/>
          </w:rPr>
          <w:t>17 статьи 21</w:t>
        </w:r>
      </w:hyperlink>
      <w:r>
        <w:t xml:space="preserve"> Федерального закона "О федеральном бюджете на 2022 год и на плановый период 2023 и 2024 годов" и в соответствии с директивами Правительства Российской Федерации представителям интересов Российской Федерации для участия в заседаниях советов директоров публичного акционерного общества "Федеральная сетевая компания Единой энергетической системы" и публичного акционерного общества "Российские сети" от 6 октября 2022 г. N 11696п-П13 и от 26 октября 2022 г. N 12470п-П13 соответственно на осуществление взноса в уставный капитал публичного акционерного общества "Россети Северный Кавказ" в целях осуществления капитальных вложений в объекты капитального строительства, принадлежащие на праве собственности публичному акционерному обществу "Россети Северный Кавказ", направленных на повышение надежности функционирования электросетевого комплекса Северо-Кавказского федерального округа, бюджетные ассигнования в размере 1000000 тыс. рублей, выделенные из резервного фонда Правительства Российской Федерации для предоставления субсидии акционерному обществу "Чеченэнерго" в соответствии с </w:t>
      </w:r>
      <w:hyperlink r:id="rId290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13 октября 2022 г. N 2987-р и </w:t>
      </w:r>
      <w:hyperlink r:id="rId29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ноября 2022 г. N 2014 "Об утверждении Правил предоставления в 2022 году субсидии, источником финансового обеспечения которой являются бюджетные ассигнования резервного фонда Правительства Российской Федерации, акционерному обществу "Чеченэнерго" в целях возмещения затрат, связанных с реализацией мероприятий по восстановлению распределительных сетей электроснабжения потребителей Чеченской Республики", бюджетные ассигнования в размере 1000000 тыс. рублей, выделенные из резервного фонда Правительства Российской Федерации для предоставления субсидии акционерному обществу "Крымэнерго" в соответствии с </w:t>
      </w:r>
      <w:hyperlink r:id="rId292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8 октября 2022 г. N 2957-р и </w:t>
      </w:r>
      <w:hyperlink r:id="rId29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октября 2022 г. N 1860 "Об утверждении Правил предоставления в 2022 году субсидии, источником финансового обеспечения которой являются бюджетные ассигнования резервного фонда Правительства Российской Федерации, акционерному обществу "Крымэнерго" на возмещение расходов, связанных с реализацией в 2022 году мероприятий по техническому, оперативному обслуживанию и ремонту оборудования, поставке приборов учета и оборудования для создания системы учета электрической энергии, мероприятий по антитеррористической защищенности, оснащению персонала средствами индивидуальной защиты и техническими средствами для выполнения работ по техническому обслуживанию и ремонту объектов электросетевого хозяйства без привлечения сторонних организаций в Республике Крым", бюджетные ассигнования в размере 1706575,7 тыс. рублей, предусмотренные </w:t>
      </w:r>
      <w:hyperlink r:id="rId294">
        <w:r>
          <w:rPr>
            <w:color w:val="0000FF"/>
          </w:rPr>
          <w:t>приложениями 11</w:t>
        </w:r>
      </w:hyperlink>
      <w:r>
        <w:t xml:space="preserve"> и </w:t>
      </w:r>
      <w:hyperlink r:id="rId295">
        <w:r>
          <w:rPr>
            <w:color w:val="0000FF"/>
          </w:rPr>
          <w:t>16</w:t>
        </w:r>
      </w:hyperlink>
      <w:r>
        <w:t xml:space="preserve"> к Федеральному закону "О федеральном бюджете на 2022 год и на плановый период 2023 и 2024 годов" в виде субсидии акционерному обществу "Чукотэнерго" на возмещение затрат, связанных с погашением кредитов (заемных средств) и уплатой процентов, привлеченных на осуществление капитальных вложений в объект капитального строительства "Строительство двух одноцепных ВЛ 110 кВ Певек - Билибино" (этап строительства N 1), и бюджетные ассигнования в размере 893424,3 тыс. рублей, предусмотренные </w:t>
      </w:r>
      <w:hyperlink r:id="rId296">
        <w:r>
          <w:rPr>
            <w:color w:val="0000FF"/>
          </w:rPr>
          <w:t>приложениями 11</w:t>
        </w:r>
      </w:hyperlink>
      <w:r>
        <w:t xml:space="preserve"> и </w:t>
      </w:r>
      <w:hyperlink r:id="rId297">
        <w:r>
          <w:rPr>
            <w:color w:val="0000FF"/>
          </w:rPr>
          <w:t>16</w:t>
        </w:r>
      </w:hyperlink>
      <w:r>
        <w:t xml:space="preserve"> к Федеральному закону "О федеральном бюджете на 2022 год и на плановый период 2023 и 2024 годов", предоставленные в виде субсидии акционерному обществу "Чукотэнерго" на возмещение затрат, связанных с погашением кредитов (заемных средств) и уплатой процентов, привлеченных на осуществление капитальных вложений в объект капитального строительства "Строительство двух одноцепных ВЛ 110 кВ Певек - Билибино" (этап строительства N 1), в соответствии с поручением Правительства Российской Федерации путем перераспределения лимитов бюджетных обязательств, доведенных до Минэнерго России в 2022 году на выполнение функций федеральных государственных органов, оказания услуг и выполнения работ.</w:t>
      </w:r>
    </w:p>
    <w:p w:rsidR="006B0AC9" w:rsidRDefault="006B0AC9">
      <w:pPr>
        <w:pStyle w:val="ConsPlusNormal"/>
        <w:spacing w:before="220"/>
        <w:ind w:firstLine="540"/>
        <w:jc w:val="both"/>
      </w:pPr>
      <w:bookmarkStart w:id="37" w:name="P2918"/>
      <w:bookmarkEnd w:id="37"/>
      <w:r>
        <w:t xml:space="preserve">&lt;**&gt; Учтены средства неиспользованных взносов в уставный капитал, а также средства, </w:t>
      </w:r>
      <w:r>
        <w:lastRenderedPageBreak/>
        <w:t xml:space="preserve">полученные от их размещения на депозитах и банковских счетах, в размере 164604 тыс. рублей, предусмотренные </w:t>
      </w:r>
      <w:hyperlink r:id="rId298">
        <w:r>
          <w:rPr>
            <w:color w:val="0000FF"/>
          </w:rPr>
          <w:t>частями 10</w:t>
        </w:r>
      </w:hyperlink>
      <w:r>
        <w:t xml:space="preserve">, </w:t>
      </w:r>
      <w:hyperlink r:id="rId299">
        <w:r>
          <w:rPr>
            <w:color w:val="0000FF"/>
          </w:rPr>
          <w:t>11</w:t>
        </w:r>
      </w:hyperlink>
      <w:r>
        <w:t xml:space="preserve">, </w:t>
      </w:r>
      <w:hyperlink r:id="rId300">
        <w:r>
          <w:rPr>
            <w:color w:val="0000FF"/>
          </w:rPr>
          <w:t>14</w:t>
        </w:r>
      </w:hyperlink>
      <w:r>
        <w:t xml:space="preserve"> и </w:t>
      </w:r>
      <w:hyperlink r:id="rId301">
        <w:r>
          <w:rPr>
            <w:color w:val="0000FF"/>
          </w:rPr>
          <w:t>15 статьи 21</w:t>
        </w:r>
      </w:hyperlink>
      <w:r>
        <w:t xml:space="preserve"> Федерального закона "О федеральном бюджете на 2023 год и на плановый период 2024 и 2025 годов" на осуществление взноса в уставный капитал публичного акционерного общества "Россети Северный Кавказ" в целях осуществления капитальных вложений в объекты капитального строительства, принадлежащие на праве собственности публичному акционерному обществу "Россети Северный Кавказ", направленных на повышение надежности функционирования электросетевого комплекса Северо-Кавказского федерального округа, в размере 306944,8 тыс. рублей, предусмотренные </w:t>
      </w:r>
      <w:hyperlink r:id="rId302">
        <w:r>
          <w:rPr>
            <w:color w:val="0000FF"/>
          </w:rPr>
          <w:t>частью 12 статьи 21</w:t>
        </w:r>
      </w:hyperlink>
      <w:r>
        <w:t xml:space="preserve"> Федерального закона "О федеральном бюджете на 2023 год и на плановый период 2024 и 2025 годов" на финансирование мероприятий, направленных на повышение надежности функционирования электросетевого комплекса Астраханской области, в размере 23846 тыс. рублей, предусмотренные </w:t>
      </w:r>
      <w:hyperlink r:id="rId303">
        <w:r>
          <w:rPr>
            <w:color w:val="0000FF"/>
          </w:rPr>
          <w:t>частью 13 статьи 21</w:t>
        </w:r>
      </w:hyperlink>
      <w:r>
        <w:t xml:space="preserve"> Федерального закона "О федеральном бюджете на 2023 год и на плановый период 2024 и 2025 годов" на осуществление капитальных вложений в объекты капитального строительства, реализация которых связана с модернизацией железнодорожной инфраструктуры Байкало-Амурской и Транссибирской железнодорожных магистралей с развитием пропускных и провозных способностей (второй этап), и бюджетные ассигнования в размере 893424,3 тыс. рублей, предусмотренные </w:t>
      </w:r>
      <w:hyperlink r:id="rId304">
        <w:r>
          <w:rPr>
            <w:color w:val="0000FF"/>
          </w:rPr>
          <w:t>приложениями 12</w:t>
        </w:r>
      </w:hyperlink>
      <w:r>
        <w:t xml:space="preserve"> и </w:t>
      </w:r>
      <w:hyperlink r:id="rId305">
        <w:r>
          <w:rPr>
            <w:color w:val="0000FF"/>
          </w:rPr>
          <w:t>17</w:t>
        </w:r>
      </w:hyperlink>
      <w:r>
        <w:t xml:space="preserve"> к Федеральному закону "О федеральном бюджете на 2023 год и на плановый период 2024 и 2025 годов" в виде субсидии акционерному обществу "Чукотэнерго" на возмещение затрат, связанных с погашением кредитов (заемных средств) и уплатой процентов, привлеченных на осуществление капитальных вложений в объект капитального строительства "Строительство двух одноцепных ВЛ 110 кВ Певек - Билибино" (этап строительства N 1), подлежащие перераспределению в 2023 году на иные цели.</w:t>
      </w:r>
    </w:p>
    <w:p w:rsidR="006B0AC9" w:rsidRDefault="006B0AC9">
      <w:pPr>
        <w:pStyle w:val="ConsPlusNormal"/>
        <w:ind w:firstLine="540"/>
        <w:jc w:val="both"/>
      </w:pPr>
    </w:p>
    <w:p w:rsidR="006B0AC9" w:rsidRDefault="006B0AC9">
      <w:pPr>
        <w:pStyle w:val="ConsPlusNormal"/>
        <w:jc w:val="both"/>
      </w:pPr>
    </w:p>
    <w:p w:rsidR="006B0AC9" w:rsidRDefault="006B0A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0F1" w:rsidRDefault="006B0AC9">
      <w:bookmarkStart w:id="38" w:name="_GoBack"/>
      <w:bookmarkEnd w:id="38"/>
    </w:p>
    <w:sectPr w:rsidR="00D410F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C9"/>
    <w:rsid w:val="006B0AC9"/>
    <w:rsid w:val="00C33D86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67D12-68DE-4599-B439-B47EBA9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0A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0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B0A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B0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B0A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B0A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B0A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31888&amp;dst=100061" TargetMode="External"/><Relationship Id="rId299" Type="http://schemas.openxmlformats.org/officeDocument/2006/relationships/hyperlink" Target="https://login.consultant.ru/link/?req=doc&amp;base=LAW&amp;n=433298&amp;dst=100291" TargetMode="External"/><Relationship Id="rId21" Type="http://schemas.openxmlformats.org/officeDocument/2006/relationships/hyperlink" Target="https://login.consultant.ru/link/?req=doc&amp;base=LAW&amp;n=356719&amp;dst=100003" TargetMode="External"/><Relationship Id="rId63" Type="http://schemas.openxmlformats.org/officeDocument/2006/relationships/hyperlink" Target="https://login.consultant.ru/link/?req=doc&amp;base=LAW&amp;n=378215&amp;dst=100122" TargetMode="External"/><Relationship Id="rId159" Type="http://schemas.openxmlformats.org/officeDocument/2006/relationships/hyperlink" Target="https://login.consultant.ru/link/?req=doc&amp;base=LAW&amp;n=446626&amp;dst=100045" TargetMode="External"/><Relationship Id="rId170" Type="http://schemas.openxmlformats.org/officeDocument/2006/relationships/hyperlink" Target="https://login.consultant.ru/link/?req=doc&amp;base=LAW&amp;n=470657&amp;dst=100100" TargetMode="External"/><Relationship Id="rId226" Type="http://schemas.openxmlformats.org/officeDocument/2006/relationships/hyperlink" Target="https://login.consultant.ru/link/?req=doc&amp;base=LAW&amp;n=347671&amp;dst=100069" TargetMode="External"/><Relationship Id="rId268" Type="http://schemas.openxmlformats.org/officeDocument/2006/relationships/hyperlink" Target="https://login.consultant.ru/link/?req=doc&amp;base=LAW&amp;n=378215&amp;dst=100235" TargetMode="External"/><Relationship Id="rId32" Type="http://schemas.openxmlformats.org/officeDocument/2006/relationships/hyperlink" Target="https://login.consultant.ru/link/?req=doc&amp;base=LAW&amp;n=358026&amp;dst=100201" TargetMode="External"/><Relationship Id="rId74" Type="http://schemas.openxmlformats.org/officeDocument/2006/relationships/hyperlink" Target="https://login.consultant.ru/link/?req=doc&amp;base=LAW&amp;n=378215&amp;dst=100122" TargetMode="External"/><Relationship Id="rId128" Type="http://schemas.openxmlformats.org/officeDocument/2006/relationships/hyperlink" Target="https://login.consultant.ru/link/?req=doc&amp;base=LAW&amp;n=347671&amp;dst=100032" TargetMode="External"/><Relationship Id="rId5" Type="http://schemas.openxmlformats.org/officeDocument/2006/relationships/hyperlink" Target="https://login.consultant.ru/link/?req=doc&amp;base=LAW&amp;n=331888&amp;dst=100003" TargetMode="External"/><Relationship Id="rId181" Type="http://schemas.openxmlformats.org/officeDocument/2006/relationships/hyperlink" Target="https://login.consultant.ru/link/?req=doc&amp;base=LAW&amp;n=331888&amp;dst=100093" TargetMode="External"/><Relationship Id="rId237" Type="http://schemas.openxmlformats.org/officeDocument/2006/relationships/hyperlink" Target="https://login.consultant.ru/link/?req=doc&amp;base=LAW&amp;n=378215&amp;dst=100220" TargetMode="External"/><Relationship Id="rId279" Type="http://schemas.openxmlformats.org/officeDocument/2006/relationships/hyperlink" Target="https://login.consultant.ru/link/?req=doc&amp;base=LAW&amp;n=378215&amp;dst=100251" TargetMode="External"/><Relationship Id="rId43" Type="http://schemas.openxmlformats.org/officeDocument/2006/relationships/hyperlink" Target="https://login.consultant.ru/link/?req=doc&amp;base=LAW&amp;n=447546&amp;dst=100034" TargetMode="External"/><Relationship Id="rId139" Type="http://schemas.openxmlformats.org/officeDocument/2006/relationships/hyperlink" Target="https://login.consultant.ru/link/?req=doc&amp;base=LAW&amp;n=378215&amp;dst=100156" TargetMode="External"/><Relationship Id="rId290" Type="http://schemas.openxmlformats.org/officeDocument/2006/relationships/hyperlink" Target="https://login.consultant.ru/link/?req=doc&amp;base=EXP&amp;n=809229" TargetMode="External"/><Relationship Id="rId304" Type="http://schemas.openxmlformats.org/officeDocument/2006/relationships/hyperlink" Target="https://login.consultant.ru/link/?req=doc&amp;base=LAW&amp;n=433298&amp;dst=104732" TargetMode="External"/><Relationship Id="rId85" Type="http://schemas.openxmlformats.org/officeDocument/2006/relationships/hyperlink" Target="https://login.consultant.ru/link/?req=doc&amp;base=LAW&amp;n=470657&amp;dst=100028" TargetMode="External"/><Relationship Id="rId150" Type="http://schemas.openxmlformats.org/officeDocument/2006/relationships/hyperlink" Target="https://login.consultant.ru/link/?req=doc&amp;base=LAW&amp;n=447546&amp;dst=100096" TargetMode="External"/><Relationship Id="rId192" Type="http://schemas.openxmlformats.org/officeDocument/2006/relationships/hyperlink" Target="https://login.consultant.ru/link/?req=doc&amp;base=LAW&amp;n=470657&amp;dst=100161" TargetMode="External"/><Relationship Id="rId206" Type="http://schemas.openxmlformats.org/officeDocument/2006/relationships/hyperlink" Target="https://login.consultant.ru/link/?req=doc&amp;base=LAW&amp;n=446626&amp;dst=100049" TargetMode="External"/><Relationship Id="rId248" Type="http://schemas.openxmlformats.org/officeDocument/2006/relationships/hyperlink" Target="https://login.consultant.ru/link/?req=doc&amp;base=LAW&amp;n=446626&amp;dst=100050" TargetMode="External"/><Relationship Id="rId12" Type="http://schemas.openxmlformats.org/officeDocument/2006/relationships/hyperlink" Target="https://login.consultant.ru/link/?req=doc&amp;base=LAW&amp;n=446626&amp;dst=100036" TargetMode="External"/><Relationship Id="rId108" Type="http://schemas.openxmlformats.org/officeDocument/2006/relationships/hyperlink" Target="https://login.consultant.ru/link/?req=doc&amp;base=LAW&amp;n=347671&amp;dst=100017" TargetMode="External"/><Relationship Id="rId54" Type="http://schemas.openxmlformats.org/officeDocument/2006/relationships/hyperlink" Target="https://login.consultant.ru/link/?req=doc&amp;base=LAW&amp;n=438139&amp;dst=100009" TargetMode="External"/><Relationship Id="rId96" Type="http://schemas.openxmlformats.org/officeDocument/2006/relationships/hyperlink" Target="https://login.consultant.ru/link/?req=doc&amp;base=LAW&amp;n=447546&amp;dst=100093" TargetMode="External"/><Relationship Id="rId161" Type="http://schemas.openxmlformats.org/officeDocument/2006/relationships/hyperlink" Target="https://login.consultant.ru/link/?req=doc&amp;base=LAW&amp;n=433964&amp;dst=100039" TargetMode="External"/><Relationship Id="rId217" Type="http://schemas.openxmlformats.org/officeDocument/2006/relationships/hyperlink" Target="https://login.consultant.ru/link/?req=doc&amp;base=LAW&amp;n=347671&amp;dst=100063" TargetMode="External"/><Relationship Id="rId259" Type="http://schemas.openxmlformats.org/officeDocument/2006/relationships/hyperlink" Target="https://login.consultant.ru/link/?req=doc&amp;base=LAW&amp;n=446626&amp;dst=100050" TargetMode="External"/><Relationship Id="rId23" Type="http://schemas.openxmlformats.org/officeDocument/2006/relationships/hyperlink" Target="https://login.consultant.ru/link/?req=doc&amp;base=LAW&amp;n=405432&amp;dst=100004" TargetMode="External"/><Relationship Id="rId119" Type="http://schemas.openxmlformats.org/officeDocument/2006/relationships/hyperlink" Target="https://login.consultant.ru/link/?req=doc&amp;base=LAW&amp;n=378215&amp;dst=100156" TargetMode="External"/><Relationship Id="rId270" Type="http://schemas.openxmlformats.org/officeDocument/2006/relationships/hyperlink" Target="https://login.consultant.ru/link/?req=doc&amp;base=LAW&amp;n=378215&amp;dst=100237" TargetMode="External"/><Relationship Id="rId291" Type="http://schemas.openxmlformats.org/officeDocument/2006/relationships/hyperlink" Target="https://login.consultant.ru/link/?req=doc&amp;base=EXP&amp;n=811412" TargetMode="External"/><Relationship Id="rId305" Type="http://schemas.openxmlformats.org/officeDocument/2006/relationships/hyperlink" Target="https://login.consultant.ru/link/?req=doc&amp;base=LAW&amp;n=433298&amp;dst=194378" TargetMode="External"/><Relationship Id="rId44" Type="http://schemas.openxmlformats.org/officeDocument/2006/relationships/hyperlink" Target="https://login.consultant.ru/link/?req=doc&amp;base=LAW&amp;n=447546&amp;dst=100046" TargetMode="External"/><Relationship Id="rId65" Type="http://schemas.openxmlformats.org/officeDocument/2006/relationships/hyperlink" Target="https://login.consultant.ru/link/?req=doc&amp;base=LAW&amp;n=331888&amp;dst=100019" TargetMode="External"/><Relationship Id="rId86" Type="http://schemas.openxmlformats.org/officeDocument/2006/relationships/hyperlink" Target="https://login.consultant.ru/link/?req=doc&amp;base=LAW&amp;n=378215&amp;dst=100134" TargetMode="External"/><Relationship Id="rId130" Type="http://schemas.openxmlformats.org/officeDocument/2006/relationships/hyperlink" Target="https://login.consultant.ru/link/?req=doc&amp;base=LAW&amp;n=446626&amp;dst=100041" TargetMode="External"/><Relationship Id="rId151" Type="http://schemas.openxmlformats.org/officeDocument/2006/relationships/hyperlink" Target="https://login.consultant.ru/link/?req=doc&amp;base=LAW&amp;n=484970&amp;dst=100015" TargetMode="External"/><Relationship Id="rId172" Type="http://schemas.openxmlformats.org/officeDocument/2006/relationships/hyperlink" Target="https://login.consultant.ru/link/?req=doc&amp;base=LAW&amp;n=447546&amp;dst=100100" TargetMode="External"/><Relationship Id="rId193" Type="http://schemas.openxmlformats.org/officeDocument/2006/relationships/hyperlink" Target="https://login.consultant.ru/link/?req=doc&amp;base=LAW&amp;n=450513&amp;dst=100013" TargetMode="External"/><Relationship Id="rId207" Type="http://schemas.openxmlformats.org/officeDocument/2006/relationships/hyperlink" Target="https://login.consultant.ru/link/?req=doc&amp;base=LAW&amp;n=331888&amp;dst=100102" TargetMode="External"/><Relationship Id="rId228" Type="http://schemas.openxmlformats.org/officeDocument/2006/relationships/hyperlink" Target="https://login.consultant.ru/link/?req=doc&amp;base=LAW&amp;n=433964&amp;dst=100054" TargetMode="External"/><Relationship Id="rId249" Type="http://schemas.openxmlformats.org/officeDocument/2006/relationships/hyperlink" Target="https://login.consultant.ru/link/?req=doc&amp;base=LAW&amp;n=433964&amp;dst=100081" TargetMode="External"/><Relationship Id="rId13" Type="http://schemas.openxmlformats.org/officeDocument/2006/relationships/hyperlink" Target="https://login.consultant.ru/link/?req=doc&amp;base=LAW&amp;n=447546&amp;dst=100003" TargetMode="External"/><Relationship Id="rId109" Type="http://schemas.openxmlformats.org/officeDocument/2006/relationships/hyperlink" Target="https://login.consultant.ru/link/?req=doc&amp;base=LAW&amp;n=378215&amp;dst=100151" TargetMode="External"/><Relationship Id="rId260" Type="http://schemas.openxmlformats.org/officeDocument/2006/relationships/hyperlink" Target="https://login.consultant.ru/link/?req=doc&amp;base=LAW&amp;n=433964&amp;dst=100106" TargetMode="External"/><Relationship Id="rId281" Type="http://schemas.openxmlformats.org/officeDocument/2006/relationships/hyperlink" Target="https://login.consultant.ru/link/?req=doc&amp;base=LAW&amp;n=347671&amp;dst=100072" TargetMode="External"/><Relationship Id="rId34" Type="http://schemas.openxmlformats.org/officeDocument/2006/relationships/hyperlink" Target="https://login.consultant.ru/link/?req=doc&amp;base=LAW&amp;n=446626&amp;dst=100037" TargetMode="External"/><Relationship Id="rId55" Type="http://schemas.openxmlformats.org/officeDocument/2006/relationships/hyperlink" Target="https://login.consultant.ru/link/?req=doc&amp;base=LAW&amp;n=331888&amp;dst=100014" TargetMode="External"/><Relationship Id="rId76" Type="http://schemas.openxmlformats.org/officeDocument/2006/relationships/hyperlink" Target="https://login.consultant.ru/link/?req=doc&amp;base=LAW&amp;n=447546&amp;dst=100081" TargetMode="External"/><Relationship Id="rId97" Type="http://schemas.openxmlformats.org/officeDocument/2006/relationships/hyperlink" Target="https://login.consultant.ru/link/?req=doc&amp;base=LAW&amp;n=331888&amp;dst=100043" TargetMode="External"/><Relationship Id="rId120" Type="http://schemas.openxmlformats.org/officeDocument/2006/relationships/hyperlink" Target="https://login.consultant.ru/link/?req=doc&amp;base=LAW&amp;n=470657&amp;dst=100035" TargetMode="External"/><Relationship Id="rId141" Type="http://schemas.openxmlformats.org/officeDocument/2006/relationships/hyperlink" Target="https://login.consultant.ru/link/?req=doc&amp;base=LAW&amp;n=331888&amp;dst=100080" TargetMode="External"/><Relationship Id="rId7" Type="http://schemas.openxmlformats.org/officeDocument/2006/relationships/hyperlink" Target="https://login.consultant.ru/link/?req=doc&amp;base=LAW&amp;n=356719&amp;dst=100003" TargetMode="External"/><Relationship Id="rId162" Type="http://schemas.openxmlformats.org/officeDocument/2006/relationships/hyperlink" Target="https://login.consultant.ru/link/?req=doc&amp;base=LAW&amp;n=446626&amp;dst=100045" TargetMode="External"/><Relationship Id="rId183" Type="http://schemas.openxmlformats.org/officeDocument/2006/relationships/hyperlink" Target="https://login.consultant.ru/link/?req=doc&amp;base=LAW&amp;n=470657&amp;dst=100160" TargetMode="External"/><Relationship Id="rId218" Type="http://schemas.openxmlformats.org/officeDocument/2006/relationships/hyperlink" Target="https://login.consultant.ru/link/?req=doc&amp;base=LAW&amp;n=378215&amp;dst=100186" TargetMode="External"/><Relationship Id="rId239" Type="http://schemas.openxmlformats.org/officeDocument/2006/relationships/hyperlink" Target="https://login.consultant.ru/link/?req=doc&amp;base=LAW&amp;n=378215&amp;dst=100225" TargetMode="External"/><Relationship Id="rId250" Type="http://schemas.openxmlformats.org/officeDocument/2006/relationships/hyperlink" Target="https://login.consultant.ru/link/?req=doc&amp;base=LAW&amp;n=446626&amp;dst=100050" TargetMode="External"/><Relationship Id="rId271" Type="http://schemas.openxmlformats.org/officeDocument/2006/relationships/hyperlink" Target="https://login.consultant.ru/link/?req=doc&amp;base=LAW&amp;n=331888&amp;dst=100113" TargetMode="External"/><Relationship Id="rId292" Type="http://schemas.openxmlformats.org/officeDocument/2006/relationships/hyperlink" Target="https://login.consultant.ru/link/?req=doc&amp;base=EXP&amp;n=809217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login.consultant.ru/link/?req=doc&amp;base=LAW&amp;n=470657&amp;dst=100008" TargetMode="External"/><Relationship Id="rId45" Type="http://schemas.openxmlformats.org/officeDocument/2006/relationships/hyperlink" Target="https://login.consultant.ru/link/?req=doc&amp;base=LAW&amp;n=447546&amp;dst=100047" TargetMode="External"/><Relationship Id="rId66" Type="http://schemas.openxmlformats.org/officeDocument/2006/relationships/hyperlink" Target="https://login.consultant.ru/link/?req=doc&amp;base=LAW&amp;n=378215&amp;dst=100122" TargetMode="External"/><Relationship Id="rId87" Type="http://schemas.openxmlformats.org/officeDocument/2006/relationships/hyperlink" Target="https://login.consultant.ru/link/?req=doc&amp;base=LAW&amp;n=470657&amp;dst=100031" TargetMode="External"/><Relationship Id="rId110" Type="http://schemas.openxmlformats.org/officeDocument/2006/relationships/hyperlink" Target="https://login.consultant.ru/link/?req=doc&amp;base=LAW&amp;n=331888&amp;dst=100054" TargetMode="External"/><Relationship Id="rId131" Type="http://schemas.openxmlformats.org/officeDocument/2006/relationships/hyperlink" Target="https://login.consultant.ru/link/?req=doc&amp;base=LAW&amp;n=331888&amp;dst=100073" TargetMode="External"/><Relationship Id="rId152" Type="http://schemas.openxmlformats.org/officeDocument/2006/relationships/hyperlink" Target="https://login.consultant.ru/link/?req=doc&amp;base=LAW&amp;n=470657&amp;dst=100039" TargetMode="External"/><Relationship Id="rId173" Type="http://schemas.openxmlformats.org/officeDocument/2006/relationships/hyperlink" Target="https://login.consultant.ru/link/?req=doc&amp;base=LAW&amp;n=470500&amp;dst=100014" TargetMode="External"/><Relationship Id="rId194" Type="http://schemas.openxmlformats.org/officeDocument/2006/relationships/hyperlink" Target="https://login.consultant.ru/link/?req=doc&amp;base=LAW&amp;n=450513&amp;dst=100019" TargetMode="External"/><Relationship Id="rId208" Type="http://schemas.openxmlformats.org/officeDocument/2006/relationships/hyperlink" Target="https://login.consultant.ru/link/?req=doc&amp;base=LAW&amp;n=347671&amp;dst=100056" TargetMode="External"/><Relationship Id="rId229" Type="http://schemas.openxmlformats.org/officeDocument/2006/relationships/hyperlink" Target="https://login.consultant.ru/link/?req=doc&amp;base=LAW&amp;n=446626&amp;dst=100049" TargetMode="External"/><Relationship Id="rId240" Type="http://schemas.openxmlformats.org/officeDocument/2006/relationships/hyperlink" Target="https://login.consultant.ru/link/?req=doc&amp;base=LAW&amp;n=378215&amp;dst=100230" TargetMode="External"/><Relationship Id="rId261" Type="http://schemas.openxmlformats.org/officeDocument/2006/relationships/hyperlink" Target="https://login.consultant.ru/link/?req=doc&amp;base=LAW&amp;n=446626&amp;dst=100050" TargetMode="External"/><Relationship Id="rId14" Type="http://schemas.openxmlformats.org/officeDocument/2006/relationships/hyperlink" Target="https://login.consultant.ru/link/?req=doc&amp;base=LAW&amp;n=450513&amp;dst=100003" TargetMode="External"/><Relationship Id="rId35" Type="http://schemas.openxmlformats.org/officeDocument/2006/relationships/hyperlink" Target="https://login.consultant.ru/link/?req=doc&amp;base=LAW&amp;n=319432&amp;dst=100002" TargetMode="External"/><Relationship Id="rId56" Type="http://schemas.openxmlformats.org/officeDocument/2006/relationships/hyperlink" Target="https://login.consultant.ru/link/?req=doc&amp;base=LAW&amp;n=378215&amp;dst=100115" TargetMode="External"/><Relationship Id="rId77" Type="http://schemas.openxmlformats.org/officeDocument/2006/relationships/hyperlink" Target="https://login.consultant.ru/link/?req=doc&amp;base=LAW&amp;n=331888&amp;dst=100035" TargetMode="External"/><Relationship Id="rId100" Type="http://schemas.openxmlformats.org/officeDocument/2006/relationships/hyperlink" Target="https://login.consultant.ru/link/?req=doc&amp;base=LAW&amp;n=331888&amp;dst=100045" TargetMode="External"/><Relationship Id="rId282" Type="http://schemas.openxmlformats.org/officeDocument/2006/relationships/hyperlink" Target="https://login.consultant.ru/link/?req=doc&amp;base=LAW&amp;n=433964&amp;dst=100123" TargetMode="External"/><Relationship Id="rId8" Type="http://schemas.openxmlformats.org/officeDocument/2006/relationships/hyperlink" Target="https://login.consultant.ru/link/?req=doc&amp;base=LAW&amp;n=378215&amp;dst=100003" TargetMode="External"/><Relationship Id="rId98" Type="http://schemas.openxmlformats.org/officeDocument/2006/relationships/hyperlink" Target="https://login.consultant.ru/link/?req=doc&amp;base=LAW&amp;n=347671&amp;dst=100011" TargetMode="External"/><Relationship Id="rId121" Type="http://schemas.openxmlformats.org/officeDocument/2006/relationships/hyperlink" Target="https://login.consultant.ru/link/?req=doc&amp;base=LAW&amp;n=331888&amp;dst=100064" TargetMode="External"/><Relationship Id="rId142" Type="http://schemas.openxmlformats.org/officeDocument/2006/relationships/hyperlink" Target="https://login.consultant.ru/link/?req=doc&amp;base=LAW&amp;n=347671&amp;dst=100044" TargetMode="External"/><Relationship Id="rId163" Type="http://schemas.openxmlformats.org/officeDocument/2006/relationships/hyperlink" Target="https://login.consultant.ru/link/?req=doc&amp;base=LAW&amp;n=470657&amp;dst=100085" TargetMode="External"/><Relationship Id="rId184" Type="http://schemas.openxmlformats.org/officeDocument/2006/relationships/hyperlink" Target="https://login.consultant.ru/link/?req=doc&amp;base=LAW&amp;n=447546&amp;dst=100112" TargetMode="External"/><Relationship Id="rId219" Type="http://schemas.openxmlformats.org/officeDocument/2006/relationships/hyperlink" Target="https://login.consultant.ru/link/?req=doc&amp;base=LAW&amp;n=331888&amp;dst=100111" TargetMode="External"/><Relationship Id="rId230" Type="http://schemas.openxmlformats.org/officeDocument/2006/relationships/hyperlink" Target="https://login.consultant.ru/link/?req=doc&amp;base=LAW&amp;n=378215&amp;dst=100187" TargetMode="External"/><Relationship Id="rId251" Type="http://schemas.openxmlformats.org/officeDocument/2006/relationships/hyperlink" Target="https://login.consultant.ru/link/?req=doc&amp;base=LAW&amp;n=447546&amp;dst=100120" TargetMode="External"/><Relationship Id="rId25" Type="http://schemas.openxmlformats.org/officeDocument/2006/relationships/hyperlink" Target="https://login.consultant.ru/link/?req=doc&amp;base=LAW&amp;n=433964&amp;dst=100003" TargetMode="External"/><Relationship Id="rId46" Type="http://schemas.openxmlformats.org/officeDocument/2006/relationships/hyperlink" Target="https://login.consultant.ru/link/?req=doc&amp;base=LAW&amp;n=447546&amp;dst=100060" TargetMode="External"/><Relationship Id="rId67" Type="http://schemas.openxmlformats.org/officeDocument/2006/relationships/hyperlink" Target="https://login.consultant.ru/link/?req=doc&amp;base=LAW&amp;n=470657&amp;dst=100015" TargetMode="External"/><Relationship Id="rId272" Type="http://schemas.openxmlformats.org/officeDocument/2006/relationships/hyperlink" Target="https://login.consultant.ru/link/?req=doc&amp;base=LAW&amp;n=378215&amp;dst=100240" TargetMode="External"/><Relationship Id="rId293" Type="http://schemas.openxmlformats.org/officeDocument/2006/relationships/hyperlink" Target="https://login.consultant.ru/link/?req=doc&amp;base=EXP&amp;n=810001" TargetMode="External"/><Relationship Id="rId307" Type="http://schemas.openxmlformats.org/officeDocument/2006/relationships/theme" Target="theme/theme1.xml"/><Relationship Id="rId88" Type="http://schemas.openxmlformats.org/officeDocument/2006/relationships/hyperlink" Target="https://login.consultant.ru/link/?req=doc&amp;base=LAW&amp;n=447546&amp;dst=100086" TargetMode="External"/><Relationship Id="rId111" Type="http://schemas.openxmlformats.org/officeDocument/2006/relationships/hyperlink" Target="https://login.consultant.ru/link/?req=doc&amp;base=LAW&amp;n=378215&amp;dst=100153" TargetMode="External"/><Relationship Id="rId132" Type="http://schemas.openxmlformats.org/officeDocument/2006/relationships/hyperlink" Target="https://login.consultant.ru/link/?req=doc&amp;base=LAW&amp;n=347671&amp;dst=100035" TargetMode="External"/><Relationship Id="rId153" Type="http://schemas.openxmlformats.org/officeDocument/2006/relationships/hyperlink" Target="https://login.consultant.ru/link/?req=doc&amp;base=LAW&amp;n=470657&amp;dst=100045" TargetMode="External"/><Relationship Id="rId174" Type="http://schemas.openxmlformats.org/officeDocument/2006/relationships/hyperlink" Target="https://login.consultant.ru/link/?req=doc&amp;base=LAW&amp;n=470500&amp;dst=100015" TargetMode="External"/><Relationship Id="rId195" Type="http://schemas.openxmlformats.org/officeDocument/2006/relationships/hyperlink" Target="https://login.consultant.ru/link/?req=doc&amp;base=LAW&amp;n=331888&amp;dst=100098" TargetMode="External"/><Relationship Id="rId209" Type="http://schemas.openxmlformats.org/officeDocument/2006/relationships/hyperlink" Target="https://login.consultant.ru/link/?req=doc&amp;base=LAW&amp;n=378215&amp;dst=100186" TargetMode="External"/><Relationship Id="rId220" Type="http://schemas.openxmlformats.org/officeDocument/2006/relationships/hyperlink" Target="https://login.consultant.ru/link/?req=doc&amp;base=LAW&amp;n=347671&amp;dst=100066" TargetMode="External"/><Relationship Id="rId241" Type="http://schemas.openxmlformats.org/officeDocument/2006/relationships/hyperlink" Target="https://login.consultant.ru/link/?req=doc&amp;base=LAW&amp;n=446626&amp;dst=100050" TargetMode="External"/><Relationship Id="rId15" Type="http://schemas.openxmlformats.org/officeDocument/2006/relationships/hyperlink" Target="https://login.consultant.ru/link/?req=doc&amp;base=LAW&amp;n=470500&amp;dst=100003" TargetMode="External"/><Relationship Id="rId36" Type="http://schemas.openxmlformats.org/officeDocument/2006/relationships/hyperlink" Target="https://login.consultant.ru/link/?req=doc&amp;base=LAW&amp;n=378215&amp;dst=100009" TargetMode="External"/><Relationship Id="rId57" Type="http://schemas.openxmlformats.org/officeDocument/2006/relationships/hyperlink" Target="https://login.consultant.ru/link/?req=doc&amp;base=LAW&amp;n=331888&amp;dst=100014" TargetMode="External"/><Relationship Id="rId262" Type="http://schemas.openxmlformats.org/officeDocument/2006/relationships/hyperlink" Target="https://login.consultant.ru/link/?req=doc&amp;base=LAW&amp;n=433964&amp;dst=100111" TargetMode="External"/><Relationship Id="rId283" Type="http://schemas.openxmlformats.org/officeDocument/2006/relationships/hyperlink" Target="https://login.consultant.ru/link/?req=doc&amp;base=LAW&amp;n=433964&amp;dst=100125" TargetMode="External"/><Relationship Id="rId78" Type="http://schemas.openxmlformats.org/officeDocument/2006/relationships/hyperlink" Target="https://login.consultant.ru/link/?req=doc&amp;base=LAW&amp;n=378215&amp;dst=100122" TargetMode="External"/><Relationship Id="rId99" Type="http://schemas.openxmlformats.org/officeDocument/2006/relationships/hyperlink" Target="https://login.consultant.ru/link/?req=doc&amp;base=LAW&amp;n=378215&amp;dst=100142" TargetMode="External"/><Relationship Id="rId101" Type="http://schemas.openxmlformats.org/officeDocument/2006/relationships/hyperlink" Target="https://login.consultant.ru/link/?req=doc&amp;base=LAW&amp;n=378215&amp;dst=100145" TargetMode="External"/><Relationship Id="rId122" Type="http://schemas.openxmlformats.org/officeDocument/2006/relationships/hyperlink" Target="https://login.consultant.ru/link/?req=doc&amp;base=LAW&amp;n=347671&amp;dst=100026" TargetMode="External"/><Relationship Id="rId143" Type="http://schemas.openxmlformats.org/officeDocument/2006/relationships/hyperlink" Target="https://login.consultant.ru/link/?req=doc&amp;base=LAW&amp;n=378215&amp;dst=100156" TargetMode="External"/><Relationship Id="rId164" Type="http://schemas.openxmlformats.org/officeDocument/2006/relationships/hyperlink" Target="https://login.consultant.ru/link/?req=doc&amp;base=LAW&amp;n=446626&amp;dst=100045" TargetMode="External"/><Relationship Id="rId185" Type="http://schemas.openxmlformats.org/officeDocument/2006/relationships/hyperlink" Target="https://login.consultant.ru/link/?req=doc&amp;base=LAW&amp;n=470500&amp;dst=100021" TargetMode="External"/><Relationship Id="rId9" Type="http://schemas.openxmlformats.org/officeDocument/2006/relationships/hyperlink" Target="https://login.consultant.ru/link/?req=doc&amp;base=LAW&amp;n=405432&amp;dst=100004" TargetMode="External"/><Relationship Id="rId210" Type="http://schemas.openxmlformats.org/officeDocument/2006/relationships/hyperlink" Target="https://login.consultant.ru/link/?req=doc&amp;base=LAW&amp;n=331888&amp;dst=100102" TargetMode="External"/><Relationship Id="rId26" Type="http://schemas.openxmlformats.org/officeDocument/2006/relationships/hyperlink" Target="https://login.consultant.ru/link/?req=doc&amp;base=LAW&amp;n=446626&amp;dst=100036" TargetMode="External"/><Relationship Id="rId231" Type="http://schemas.openxmlformats.org/officeDocument/2006/relationships/hyperlink" Target="https://login.consultant.ru/link/?req=doc&amp;base=LAW&amp;n=433964&amp;dst=100060" TargetMode="External"/><Relationship Id="rId252" Type="http://schemas.openxmlformats.org/officeDocument/2006/relationships/hyperlink" Target="https://login.consultant.ru/link/?req=doc&amp;base=LAW&amp;n=433964&amp;dst=100086" TargetMode="External"/><Relationship Id="rId273" Type="http://schemas.openxmlformats.org/officeDocument/2006/relationships/hyperlink" Target="https://login.consultant.ru/link/?req=doc&amp;base=LAW&amp;n=446626&amp;dst=100050" TargetMode="External"/><Relationship Id="rId294" Type="http://schemas.openxmlformats.org/officeDocument/2006/relationships/hyperlink" Target="https://login.consultant.ru/link/?req=doc&amp;base=LAW&amp;n=402647&amp;dst=210880" TargetMode="External"/><Relationship Id="rId47" Type="http://schemas.openxmlformats.org/officeDocument/2006/relationships/hyperlink" Target="https://login.consultant.ru/link/?req=doc&amp;base=LAW&amp;n=331888&amp;dst=100012" TargetMode="External"/><Relationship Id="rId68" Type="http://schemas.openxmlformats.org/officeDocument/2006/relationships/hyperlink" Target="https://login.consultant.ru/link/?req=doc&amp;base=LAW&amp;n=447546&amp;dst=100077" TargetMode="External"/><Relationship Id="rId89" Type="http://schemas.openxmlformats.org/officeDocument/2006/relationships/hyperlink" Target="https://login.consultant.ru/link/?req=doc&amp;base=LAW&amp;n=470500&amp;dst=100008" TargetMode="External"/><Relationship Id="rId112" Type="http://schemas.openxmlformats.org/officeDocument/2006/relationships/hyperlink" Target="https://login.consultant.ru/link/?req=doc&amp;base=LAW&amp;n=470657&amp;dst=100035" TargetMode="External"/><Relationship Id="rId133" Type="http://schemas.openxmlformats.org/officeDocument/2006/relationships/hyperlink" Target="https://login.consultant.ru/link/?req=doc&amp;base=LAW&amp;n=378215&amp;dst=100156" TargetMode="External"/><Relationship Id="rId154" Type="http://schemas.openxmlformats.org/officeDocument/2006/relationships/hyperlink" Target="https://login.consultant.ru/link/?req=doc&amp;base=LAW&amp;n=447546&amp;dst=100099" TargetMode="External"/><Relationship Id="rId175" Type="http://schemas.openxmlformats.org/officeDocument/2006/relationships/hyperlink" Target="https://login.consultant.ru/link/?req=doc&amp;base=LAW&amp;n=447546&amp;dst=100103" TargetMode="External"/><Relationship Id="rId196" Type="http://schemas.openxmlformats.org/officeDocument/2006/relationships/hyperlink" Target="https://login.consultant.ru/link/?req=doc&amp;base=LAW&amp;n=378215&amp;dst=100184" TargetMode="External"/><Relationship Id="rId200" Type="http://schemas.openxmlformats.org/officeDocument/2006/relationships/hyperlink" Target="https://login.consultant.ru/link/?req=doc&amp;base=LAW&amp;n=347671&amp;dst=100052" TargetMode="External"/><Relationship Id="rId16" Type="http://schemas.openxmlformats.org/officeDocument/2006/relationships/hyperlink" Target="https://login.consultant.ru/link/?req=doc&amp;base=LAW&amp;n=484970&amp;dst=100007" TargetMode="External"/><Relationship Id="rId221" Type="http://schemas.openxmlformats.org/officeDocument/2006/relationships/hyperlink" Target="https://login.consultant.ru/link/?req=doc&amp;base=LAW&amp;n=378215&amp;dst=100186" TargetMode="External"/><Relationship Id="rId242" Type="http://schemas.openxmlformats.org/officeDocument/2006/relationships/hyperlink" Target="https://login.consultant.ru/link/?req=doc&amp;base=LAW&amp;n=433964&amp;dst=100065" TargetMode="External"/><Relationship Id="rId263" Type="http://schemas.openxmlformats.org/officeDocument/2006/relationships/hyperlink" Target="https://login.consultant.ru/link/?req=doc&amp;base=LAW&amp;n=446626&amp;dst=100050" TargetMode="External"/><Relationship Id="rId284" Type="http://schemas.openxmlformats.org/officeDocument/2006/relationships/hyperlink" Target="https://login.consultant.ru/link/?req=doc&amp;base=LAW&amp;n=347671&amp;dst=100076" TargetMode="External"/><Relationship Id="rId37" Type="http://schemas.openxmlformats.org/officeDocument/2006/relationships/hyperlink" Target="https://login.consultant.ru/link/?req=doc&amp;base=LAW&amp;n=378215&amp;dst=100010" TargetMode="External"/><Relationship Id="rId58" Type="http://schemas.openxmlformats.org/officeDocument/2006/relationships/hyperlink" Target="https://login.consultant.ru/link/?req=doc&amp;base=LAW&amp;n=378215&amp;dst=100117" TargetMode="External"/><Relationship Id="rId79" Type="http://schemas.openxmlformats.org/officeDocument/2006/relationships/hyperlink" Target="https://login.consultant.ru/link/?req=doc&amp;base=LAW&amp;n=470657&amp;dst=100024" TargetMode="External"/><Relationship Id="rId102" Type="http://schemas.openxmlformats.org/officeDocument/2006/relationships/hyperlink" Target="https://login.consultant.ru/link/?req=doc&amp;base=LAW&amp;n=470657&amp;dst=100032" TargetMode="External"/><Relationship Id="rId123" Type="http://schemas.openxmlformats.org/officeDocument/2006/relationships/hyperlink" Target="https://login.consultant.ru/link/?req=doc&amp;base=LAW&amp;n=378215&amp;dst=100156" TargetMode="External"/><Relationship Id="rId144" Type="http://schemas.openxmlformats.org/officeDocument/2006/relationships/hyperlink" Target="https://login.consultant.ru/link/?req=doc&amp;base=LAW&amp;n=331888&amp;dst=100082" TargetMode="External"/><Relationship Id="rId90" Type="http://schemas.openxmlformats.org/officeDocument/2006/relationships/hyperlink" Target="https://login.consultant.ru/link/?req=doc&amp;base=LAW&amp;n=484970&amp;dst=100008" TargetMode="External"/><Relationship Id="rId165" Type="http://schemas.openxmlformats.org/officeDocument/2006/relationships/hyperlink" Target="https://login.consultant.ru/link/?req=doc&amp;base=LAW&amp;n=470657&amp;dst=100090" TargetMode="External"/><Relationship Id="rId186" Type="http://schemas.openxmlformats.org/officeDocument/2006/relationships/hyperlink" Target="https://login.consultant.ru/link/?req=doc&amp;base=LAW&amp;n=331888&amp;dst=100095" TargetMode="External"/><Relationship Id="rId211" Type="http://schemas.openxmlformats.org/officeDocument/2006/relationships/hyperlink" Target="https://login.consultant.ru/link/?req=doc&amp;base=LAW&amp;n=347671&amp;dst=100059" TargetMode="External"/><Relationship Id="rId232" Type="http://schemas.openxmlformats.org/officeDocument/2006/relationships/hyperlink" Target="https://login.consultant.ru/link/?req=doc&amp;base=LAW&amp;n=470500&amp;dst=100022" TargetMode="External"/><Relationship Id="rId253" Type="http://schemas.openxmlformats.org/officeDocument/2006/relationships/hyperlink" Target="https://login.consultant.ru/link/?req=doc&amp;base=LAW&amp;n=446626&amp;dst=100050" TargetMode="External"/><Relationship Id="rId274" Type="http://schemas.openxmlformats.org/officeDocument/2006/relationships/hyperlink" Target="https://login.consultant.ru/link/?req=doc&amp;base=LAW&amp;n=378215&amp;dst=100241" TargetMode="External"/><Relationship Id="rId295" Type="http://schemas.openxmlformats.org/officeDocument/2006/relationships/hyperlink" Target="https://login.consultant.ru/link/?req=doc&amp;base=LAW&amp;n=402647&amp;dst=153224" TargetMode="External"/><Relationship Id="rId27" Type="http://schemas.openxmlformats.org/officeDocument/2006/relationships/hyperlink" Target="https://login.consultant.ru/link/?req=doc&amp;base=LAW&amp;n=447546&amp;dst=100003" TargetMode="External"/><Relationship Id="rId48" Type="http://schemas.openxmlformats.org/officeDocument/2006/relationships/hyperlink" Target="https://login.consultant.ru/link/?req=doc&amp;base=LAW&amp;n=378215&amp;dst=100111" TargetMode="External"/><Relationship Id="rId69" Type="http://schemas.openxmlformats.org/officeDocument/2006/relationships/hyperlink" Target="https://login.consultant.ru/link/?req=doc&amp;base=LAW&amp;n=331888&amp;dst=100025" TargetMode="External"/><Relationship Id="rId113" Type="http://schemas.openxmlformats.org/officeDocument/2006/relationships/hyperlink" Target="https://login.consultant.ru/link/?req=doc&amp;base=LAW&amp;n=331888&amp;dst=100058" TargetMode="External"/><Relationship Id="rId134" Type="http://schemas.openxmlformats.org/officeDocument/2006/relationships/hyperlink" Target="https://login.consultant.ru/link/?req=doc&amp;base=LAW&amp;n=331888&amp;dst=100075" TargetMode="External"/><Relationship Id="rId80" Type="http://schemas.openxmlformats.org/officeDocument/2006/relationships/hyperlink" Target="https://login.consultant.ru/link/?req=doc&amp;base=LAW&amp;n=447546&amp;dst=100082" TargetMode="External"/><Relationship Id="rId155" Type="http://schemas.openxmlformats.org/officeDocument/2006/relationships/hyperlink" Target="https://login.consultant.ru/link/?req=doc&amp;base=LAW&amp;n=470657&amp;dst=100070" TargetMode="External"/><Relationship Id="rId176" Type="http://schemas.openxmlformats.org/officeDocument/2006/relationships/hyperlink" Target="https://login.consultant.ru/link/?req=doc&amp;base=LAW&amp;n=450513&amp;dst=100007" TargetMode="External"/><Relationship Id="rId197" Type="http://schemas.openxmlformats.org/officeDocument/2006/relationships/hyperlink" Target="https://login.consultant.ru/link/?req=doc&amp;base=LAW&amp;n=446626&amp;dst=100046" TargetMode="External"/><Relationship Id="rId201" Type="http://schemas.openxmlformats.org/officeDocument/2006/relationships/hyperlink" Target="https://login.consultant.ru/link/?req=doc&amp;base=LAW&amp;n=378215&amp;dst=100186" TargetMode="External"/><Relationship Id="rId222" Type="http://schemas.openxmlformats.org/officeDocument/2006/relationships/hyperlink" Target="https://login.consultant.ru/link/?req=doc&amp;base=LAW&amp;n=446626&amp;dst=100049" TargetMode="External"/><Relationship Id="rId243" Type="http://schemas.openxmlformats.org/officeDocument/2006/relationships/hyperlink" Target="https://login.consultant.ru/link/?req=doc&amp;base=LAW&amp;n=446626&amp;dst=100050" TargetMode="External"/><Relationship Id="rId264" Type="http://schemas.openxmlformats.org/officeDocument/2006/relationships/hyperlink" Target="https://login.consultant.ru/link/?req=doc&amp;base=LAW&amp;n=433964&amp;dst=100116" TargetMode="External"/><Relationship Id="rId285" Type="http://schemas.openxmlformats.org/officeDocument/2006/relationships/hyperlink" Target="https://login.consultant.ru/link/?req=doc&amp;base=LAW&amp;n=470657&amp;dst=100162" TargetMode="External"/><Relationship Id="rId17" Type="http://schemas.openxmlformats.org/officeDocument/2006/relationships/hyperlink" Target="https://login.consultant.ru/link/?req=doc&amp;base=LAW&amp;n=470657&amp;dst=100007" TargetMode="External"/><Relationship Id="rId38" Type="http://schemas.openxmlformats.org/officeDocument/2006/relationships/hyperlink" Target="https://login.consultant.ru/link/?req=doc&amp;base=LAW&amp;n=470657&amp;dst=100009" TargetMode="External"/><Relationship Id="rId59" Type="http://schemas.openxmlformats.org/officeDocument/2006/relationships/hyperlink" Target="https://login.consultant.ru/link/?req=doc&amp;base=LAW&amp;n=331888&amp;dst=100014" TargetMode="External"/><Relationship Id="rId103" Type="http://schemas.openxmlformats.org/officeDocument/2006/relationships/hyperlink" Target="https://login.consultant.ru/link/?req=doc&amp;base=LAW&amp;n=433964&amp;dst=100022" TargetMode="External"/><Relationship Id="rId124" Type="http://schemas.openxmlformats.org/officeDocument/2006/relationships/hyperlink" Target="https://login.consultant.ru/link/?req=doc&amp;base=LAW&amp;n=331888&amp;dst=100066" TargetMode="External"/><Relationship Id="rId70" Type="http://schemas.openxmlformats.org/officeDocument/2006/relationships/hyperlink" Target="https://login.consultant.ru/link/?req=doc&amp;base=LAW&amp;n=378215&amp;dst=100122" TargetMode="External"/><Relationship Id="rId91" Type="http://schemas.openxmlformats.org/officeDocument/2006/relationships/hyperlink" Target="https://login.consultant.ru/link/?req=doc&amp;base=LAW&amp;n=484970&amp;dst=100009" TargetMode="External"/><Relationship Id="rId145" Type="http://schemas.openxmlformats.org/officeDocument/2006/relationships/hyperlink" Target="https://login.consultant.ru/link/?req=doc&amp;base=LAW&amp;n=347671&amp;dst=100047" TargetMode="External"/><Relationship Id="rId166" Type="http://schemas.openxmlformats.org/officeDocument/2006/relationships/hyperlink" Target="https://login.consultant.ru/link/?req=doc&amp;base=LAW&amp;n=446626&amp;dst=100045" TargetMode="External"/><Relationship Id="rId187" Type="http://schemas.openxmlformats.org/officeDocument/2006/relationships/hyperlink" Target="https://login.consultant.ru/link/?req=doc&amp;base=LAW&amp;n=347671&amp;dst=10005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78215&amp;dst=100186" TargetMode="External"/><Relationship Id="rId233" Type="http://schemas.openxmlformats.org/officeDocument/2006/relationships/hyperlink" Target="https://login.consultant.ru/link/?req=doc&amp;base=LAW&amp;n=484970&amp;dst=100017" TargetMode="External"/><Relationship Id="rId254" Type="http://schemas.openxmlformats.org/officeDocument/2006/relationships/hyperlink" Target="https://login.consultant.ru/link/?req=doc&amp;base=LAW&amp;n=433964&amp;dst=100091" TargetMode="External"/><Relationship Id="rId28" Type="http://schemas.openxmlformats.org/officeDocument/2006/relationships/hyperlink" Target="https://login.consultant.ru/link/?req=doc&amp;base=LAW&amp;n=450513&amp;dst=100003" TargetMode="External"/><Relationship Id="rId49" Type="http://schemas.openxmlformats.org/officeDocument/2006/relationships/hyperlink" Target="https://login.consultant.ru/link/?req=doc&amp;base=LAW&amp;n=470657&amp;dst=100012" TargetMode="External"/><Relationship Id="rId114" Type="http://schemas.openxmlformats.org/officeDocument/2006/relationships/hyperlink" Target="https://login.consultant.ru/link/?req=doc&amp;base=LAW&amp;n=347671&amp;dst=100020" TargetMode="External"/><Relationship Id="rId275" Type="http://schemas.openxmlformats.org/officeDocument/2006/relationships/hyperlink" Target="https://login.consultant.ru/link/?req=doc&amp;base=LAW&amp;n=331888&amp;dst=100114" TargetMode="External"/><Relationship Id="rId296" Type="http://schemas.openxmlformats.org/officeDocument/2006/relationships/hyperlink" Target="https://login.consultant.ru/link/?req=doc&amp;base=LAW&amp;n=402647&amp;dst=210880" TargetMode="External"/><Relationship Id="rId300" Type="http://schemas.openxmlformats.org/officeDocument/2006/relationships/hyperlink" Target="https://login.consultant.ru/link/?req=doc&amp;base=LAW&amp;n=433298&amp;dst=100294" TargetMode="External"/><Relationship Id="rId60" Type="http://schemas.openxmlformats.org/officeDocument/2006/relationships/hyperlink" Target="https://login.consultant.ru/link/?req=doc&amp;base=LAW&amp;n=378215&amp;dst=100118" TargetMode="External"/><Relationship Id="rId81" Type="http://schemas.openxmlformats.org/officeDocument/2006/relationships/hyperlink" Target="https://login.consultant.ru/link/?req=doc&amp;base=LAW&amp;n=378215&amp;dst=100123" TargetMode="External"/><Relationship Id="rId135" Type="http://schemas.openxmlformats.org/officeDocument/2006/relationships/hyperlink" Target="https://login.consultant.ru/link/?req=doc&amp;base=LAW&amp;n=347671&amp;dst=100038" TargetMode="External"/><Relationship Id="rId156" Type="http://schemas.openxmlformats.org/officeDocument/2006/relationships/hyperlink" Target="https://login.consultant.ru/link/?req=doc&amp;base=LAW&amp;n=446626&amp;dst=100045" TargetMode="External"/><Relationship Id="rId177" Type="http://schemas.openxmlformats.org/officeDocument/2006/relationships/hyperlink" Target="https://login.consultant.ru/link/?req=doc&amp;base=LAW&amp;n=433964&amp;dst=100050" TargetMode="External"/><Relationship Id="rId198" Type="http://schemas.openxmlformats.org/officeDocument/2006/relationships/hyperlink" Target="https://login.consultant.ru/link/?req=doc&amp;base=LAW&amp;n=447546&amp;dst=100113" TargetMode="External"/><Relationship Id="rId202" Type="http://schemas.openxmlformats.org/officeDocument/2006/relationships/hyperlink" Target="https://login.consultant.ru/link/?req=doc&amp;base=LAW&amp;n=331888&amp;dst=100100" TargetMode="External"/><Relationship Id="rId223" Type="http://schemas.openxmlformats.org/officeDocument/2006/relationships/hyperlink" Target="https://login.consultant.ru/link/?req=doc&amp;base=LAW&amp;n=447546&amp;dst=100116" TargetMode="External"/><Relationship Id="rId244" Type="http://schemas.openxmlformats.org/officeDocument/2006/relationships/hyperlink" Target="https://login.consultant.ru/link/?req=doc&amp;base=LAW&amp;n=433964&amp;dst=100071" TargetMode="External"/><Relationship Id="rId18" Type="http://schemas.openxmlformats.org/officeDocument/2006/relationships/hyperlink" Target="https://login.consultant.ru/link/?req=doc&amp;base=LAW&amp;n=470657&amp;dst=100007" TargetMode="External"/><Relationship Id="rId39" Type="http://schemas.openxmlformats.org/officeDocument/2006/relationships/hyperlink" Target="https://login.consultant.ru/link/?req=doc&amp;base=LAW&amp;n=378215&amp;dst=100013" TargetMode="External"/><Relationship Id="rId265" Type="http://schemas.openxmlformats.org/officeDocument/2006/relationships/hyperlink" Target="https://login.consultant.ru/link/?req=doc&amp;base=LAW&amp;n=446626&amp;dst=100050" TargetMode="External"/><Relationship Id="rId286" Type="http://schemas.openxmlformats.org/officeDocument/2006/relationships/hyperlink" Target="https://login.consultant.ru/link/?req=doc&amp;base=LAW&amp;n=470657&amp;dst=100162" TargetMode="External"/><Relationship Id="rId50" Type="http://schemas.openxmlformats.org/officeDocument/2006/relationships/hyperlink" Target="https://login.consultant.ru/link/?req=doc&amp;base=LAW&amp;n=470657&amp;dst=100013" TargetMode="External"/><Relationship Id="rId104" Type="http://schemas.openxmlformats.org/officeDocument/2006/relationships/hyperlink" Target="https://login.consultant.ru/link/?req=doc&amp;base=LAW&amp;n=446626&amp;dst=100041" TargetMode="External"/><Relationship Id="rId125" Type="http://schemas.openxmlformats.org/officeDocument/2006/relationships/hyperlink" Target="https://login.consultant.ru/link/?req=doc&amp;base=LAW&amp;n=347671&amp;dst=100029" TargetMode="External"/><Relationship Id="rId146" Type="http://schemas.openxmlformats.org/officeDocument/2006/relationships/hyperlink" Target="https://login.consultant.ru/link/?req=doc&amp;base=LAW&amp;n=378215&amp;dst=100156" TargetMode="External"/><Relationship Id="rId167" Type="http://schemas.openxmlformats.org/officeDocument/2006/relationships/hyperlink" Target="https://login.consultant.ru/link/?req=doc&amp;base=LAW&amp;n=470657&amp;dst=100095" TargetMode="External"/><Relationship Id="rId188" Type="http://schemas.openxmlformats.org/officeDocument/2006/relationships/hyperlink" Target="https://login.consultant.ru/link/?req=doc&amp;base=LAW&amp;n=378215&amp;dst=100171" TargetMode="External"/><Relationship Id="rId71" Type="http://schemas.openxmlformats.org/officeDocument/2006/relationships/hyperlink" Target="https://login.consultant.ru/link/?req=doc&amp;base=LAW&amp;n=470657&amp;dst=100018" TargetMode="External"/><Relationship Id="rId92" Type="http://schemas.openxmlformats.org/officeDocument/2006/relationships/hyperlink" Target="https://login.consultant.ru/link/?req=doc&amp;base=LAW&amp;n=331888&amp;dst=100041" TargetMode="External"/><Relationship Id="rId213" Type="http://schemas.openxmlformats.org/officeDocument/2006/relationships/hyperlink" Target="https://login.consultant.ru/link/?req=doc&amp;base=LAW&amp;n=331888&amp;dst=100104" TargetMode="External"/><Relationship Id="rId234" Type="http://schemas.openxmlformats.org/officeDocument/2006/relationships/hyperlink" Target="https://login.consultant.ru/link/?req=doc&amp;base=LAW&amp;n=378215&amp;dst=1002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0500&amp;dst=100003" TargetMode="External"/><Relationship Id="rId255" Type="http://schemas.openxmlformats.org/officeDocument/2006/relationships/hyperlink" Target="https://login.consultant.ru/link/?req=doc&amp;base=LAW&amp;n=446626&amp;dst=100050" TargetMode="External"/><Relationship Id="rId276" Type="http://schemas.openxmlformats.org/officeDocument/2006/relationships/hyperlink" Target="https://login.consultant.ru/link/?req=doc&amp;base=LAW&amp;n=378215&amp;dst=100243" TargetMode="External"/><Relationship Id="rId297" Type="http://schemas.openxmlformats.org/officeDocument/2006/relationships/hyperlink" Target="https://login.consultant.ru/link/?req=doc&amp;base=LAW&amp;n=402647&amp;dst=153224" TargetMode="External"/><Relationship Id="rId40" Type="http://schemas.openxmlformats.org/officeDocument/2006/relationships/hyperlink" Target="https://login.consultant.ru/link/?req=doc&amp;base=LAW&amp;n=447546&amp;dst=100008" TargetMode="External"/><Relationship Id="rId115" Type="http://schemas.openxmlformats.org/officeDocument/2006/relationships/hyperlink" Target="https://login.consultant.ru/link/?req=doc&amp;base=LAW&amp;n=378215&amp;dst=100156" TargetMode="External"/><Relationship Id="rId136" Type="http://schemas.openxmlformats.org/officeDocument/2006/relationships/hyperlink" Target="https://login.consultant.ru/link/?req=doc&amp;base=LAW&amp;n=378215&amp;dst=100156" TargetMode="External"/><Relationship Id="rId157" Type="http://schemas.openxmlformats.org/officeDocument/2006/relationships/hyperlink" Target="https://login.consultant.ru/link/?req=doc&amp;base=LAW&amp;n=470657&amp;dst=100075" TargetMode="External"/><Relationship Id="rId178" Type="http://schemas.openxmlformats.org/officeDocument/2006/relationships/hyperlink" Target="https://login.consultant.ru/link/?req=doc&amp;base=LAW&amp;n=378215&amp;dst=100168" TargetMode="External"/><Relationship Id="rId301" Type="http://schemas.openxmlformats.org/officeDocument/2006/relationships/hyperlink" Target="https://login.consultant.ru/link/?req=doc&amp;base=LAW&amp;n=433298&amp;dst=100295" TargetMode="External"/><Relationship Id="rId61" Type="http://schemas.openxmlformats.org/officeDocument/2006/relationships/hyperlink" Target="https://login.consultant.ru/link/?req=doc&amp;base=LAW&amp;n=447546&amp;dst=100073" TargetMode="External"/><Relationship Id="rId82" Type="http://schemas.openxmlformats.org/officeDocument/2006/relationships/hyperlink" Target="https://login.consultant.ru/link/?req=doc&amp;base=LAW&amp;n=470657&amp;dst=100027" TargetMode="External"/><Relationship Id="rId199" Type="http://schemas.openxmlformats.org/officeDocument/2006/relationships/hyperlink" Target="https://login.consultant.ru/link/?req=doc&amp;base=LAW&amp;n=331888&amp;dst=100098" TargetMode="External"/><Relationship Id="rId203" Type="http://schemas.openxmlformats.org/officeDocument/2006/relationships/hyperlink" Target="https://login.consultant.ru/link/?req=doc&amp;base=LAW&amp;n=347671&amp;dst=100055" TargetMode="External"/><Relationship Id="rId19" Type="http://schemas.openxmlformats.org/officeDocument/2006/relationships/hyperlink" Target="https://login.consultant.ru/link/?req=doc&amp;base=LAW&amp;n=331888&amp;dst=100003" TargetMode="External"/><Relationship Id="rId224" Type="http://schemas.openxmlformats.org/officeDocument/2006/relationships/hyperlink" Target="https://login.consultant.ru/link/?req=doc&amp;base=LAW&amp;n=484970&amp;dst=100016" TargetMode="External"/><Relationship Id="rId245" Type="http://schemas.openxmlformats.org/officeDocument/2006/relationships/hyperlink" Target="https://login.consultant.ru/link/?req=doc&amp;base=LAW&amp;n=446626&amp;dst=100050" TargetMode="External"/><Relationship Id="rId266" Type="http://schemas.openxmlformats.org/officeDocument/2006/relationships/hyperlink" Target="https://login.consultant.ru/link/?req=doc&amp;base=LAW&amp;n=447546&amp;dst=100126" TargetMode="External"/><Relationship Id="rId287" Type="http://schemas.openxmlformats.org/officeDocument/2006/relationships/hyperlink" Target="https://login.consultant.ru/link/?req=doc&amp;base=LAW&amp;n=447546&amp;dst=100141" TargetMode="External"/><Relationship Id="rId30" Type="http://schemas.openxmlformats.org/officeDocument/2006/relationships/hyperlink" Target="https://login.consultant.ru/link/?req=doc&amp;base=LAW&amp;n=484970&amp;dst=100007" TargetMode="External"/><Relationship Id="rId105" Type="http://schemas.openxmlformats.org/officeDocument/2006/relationships/hyperlink" Target="https://login.consultant.ru/link/?req=doc&amp;base=LAW&amp;n=331888&amp;dst=100048" TargetMode="External"/><Relationship Id="rId126" Type="http://schemas.openxmlformats.org/officeDocument/2006/relationships/hyperlink" Target="https://login.consultant.ru/link/?req=doc&amp;base=LAW&amp;n=378215&amp;dst=100156" TargetMode="External"/><Relationship Id="rId147" Type="http://schemas.openxmlformats.org/officeDocument/2006/relationships/hyperlink" Target="https://login.consultant.ru/link/?req=doc&amp;base=LAW&amp;n=331888&amp;dst=100083" TargetMode="External"/><Relationship Id="rId168" Type="http://schemas.openxmlformats.org/officeDocument/2006/relationships/hyperlink" Target="https://login.consultant.ru/link/?req=doc&amp;base=LAW&amp;n=433964&amp;dst=100040" TargetMode="External"/><Relationship Id="rId51" Type="http://schemas.openxmlformats.org/officeDocument/2006/relationships/hyperlink" Target="https://login.consultant.ru/link/?req=doc&amp;base=LAW&amp;n=358026&amp;dst=100206" TargetMode="External"/><Relationship Id="rId72" Type="http://schemas.openxmlformats.org/officeDocument/2006/relationships/hyperlink" Target="https://login.consultant.ru/link/?req=doc&amp;base=LAW&amp;n=447546&amp;dst=100078" TargetMode="External"/><Relationship Id="rId93" Type="http://schemas.openxmlformats.org/officeDocument/2006/relationships/hyperlink" Target="https://login.consultant.ru/link/?req=doc&amp;base=LAW&amp;n=378215&amp;dst=100140" TargetMode="External"/><Relationship Id="rId189" Type="http://schemas.openxmlformats.org/officeDocument/2006/relationships/hyperlink" Target="https://login.consultant.ru/link/?req=doc&amp;base=LAW&amp;n=331888&amp;dst=10009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47671&amp;dst=100060" TargetMode="External"/><Relationship Id="rId235" Type="http://schemas.openxmlformats.org/officeDocument/2006/relationships/hyperlink" Target="https://login.consultant.ru/link/?req=doc&amp;base=LAW&amp;n=446626&amp;dst=100050" TargetMode="External"/><Relationship Id="rId256" Type="http://schemas.openxmlformats.org/officeDocument/2006/relationships/hyperlink" Target="https://login.consultant.ru/link/?req=doc&amp;base=LAW&amp;n=433964&amp;dst=100096" TargetMode="External"/><Relationship Id="rId277" Type="http://schemas.openxmlformats.org/officeDocument/2006/relationships/hyperlink" Target="https://login.consultant.ru/link/?req=doc&amp;base=LAW&amp;n=447546&amp;dst=100137" TargetMode="External"/><Relationship Id="rId298" Type="http://schemas.openxmlformats.org/officeDocument/2006/relationships/hyperlink" Target="https://login.consultant.ru/link/?req=doc&amp;base=LAW&amp;n=433298&amp;dst=100290" TargetMode="External"/><Relationship Id="rId116" Type="http://schemas.openxmlformats.org/officeDocument/2006/relationships/hyperlink" Target="https://login.consultant.ru/link/?req=doc&amp;base=LAW&amp;n=470657&amp;dst=100035" TargetMode="External"/><Relationship Id="rId137" Type="http://schemas.openxmlformats.org/officeDocument/2006/relationships/hyperlink" Target="https://login.consultant.ru/link/?req=doc&amp;base=LAW&amp;n=331888&amp;dst=100077" TargetMode="External"/><Relationship Id="rId158" Type="http://schemas.openxmlformats.org/officeDocument/2006/relationships/hyperlink" Target="https://login.consultant.ru/link/?req=doc&amp;base=LAW&amp;n=433964&amp;dst=100038" TargetMode="External"/><Relationship Id="rId302" Type="http://schemas.openxmlformats.org/officeDocument/2006/relationships/hyperlink" Target="https://login.consultant.ru/link/?req=doc&amp;base=LAW&amp;n=433298&amp;dst=100292" TargetMode="External"/><Relationship Id="rId20" Type="http://schemas.openxmlformats.org/officeDocument/2006/relationships/hyperlink" Target="https://login.consultant.ru/link/?req=doc&amp;base=LAW&amp;n=347671&amp;dst=100003" TargetMode="External"/><Relationship Id="rId41" Type="http://schemas.openxmlformats.org/officeDocument/2006/relationships/hyperlink" Target="https://login.consultant.ru/link/?req=doc&amp;base=LAW&amp;n=447546&amp;dst=100009" TargetMode="External"/><Relationship Id="rId62" Type="http://schemas.openxmlformats.org/officeDocument/2006/relationships/hyperlink" Target="https://login.consultant.ru/link/?req=doc&amp;base=LAW&amp;n=331888&amp;dst=100016" TargetMode="External"/><Relationship Id="rId83" Type="http://schemas.openxmlformats.org/officeDocument/2006/relationships/hyperlink" Target="https://login.consultant.ru/link/?req=doc&amp;base=LAW&amp;n=447546&amp;dst=100085" TargetMode="External"/><Relationship Id="rId179" Type="http://schemas.openxmlformats.org/officeDocument/2006/relationships/hyperlink" Target="https://login.consultant.ru/link/?req=doc&amp;base=LAW&amp;n=331888&amp;dst=100088" TargetMode="External"/><Relationship Id="rId190" Type="http://schemas.openxmlformats.org/officeDocument/2006/relationships/hyperlink" Target="https://login.consultant.ru/link/?req=doc&amp;base=LAW&amp;n=378215&amp;dst=100175" TargetMode="External"/><Relationship Id="rId204" Type="http://schemas.openxmlformats.org/officeDocument/2006/relationships/hyperlink" Target="https://login.consultant.ru/link/?req=doc&amp;base=LAW&amp;n=378215&amp;dst=100186" TargetMode="External"/><Relationship Id="rId225" Type="http://schemas.openxmlformats.org/officeDocument/2006/relationships/hyperlink" Target="https://login.consultant.ru/link/?req=doc&amp;base=LAW&amp;n=331888&amp;dst=100113" TargetMode="External"/><Relationship Id="rId246" Type="http://schemas.openxmlformats.org/officeDocument/2006/relationships/hyperlink" Target="https://login.consultant.ru/link/?req=doc&amp;base=LAW&amp;n=447546&amp;dst=100119" TargetMode="External"/><Relationship Id="rId267" Type="http://schemas.openxmlformats.org/officeDocument/2006/relationships/hyperlink" Target="https://login.consultant.ru/link/?req=doc&amp;base=LAW&amp;n=447546&amp;dst=100132" TargetMode="External"/><Relationship Id="rId288" Type="http://schemas.openxmlformats.org/officeDocument/2006/relationships/hyperlink" Target="https://login.consultant.ru/link/?req=doc&amp;base=LAW&amp;n=402647&amp;dst=100280" TargetMode="External"/><Relationship Id="rId106" Type="http://schemas.openxmlformats.org/officeDocument/2006/relationships/hyperlink" Target="https://login.consultant.ru/link/?req=doc&amp;base=LAW&amp;n=433964&amp;dst=100025" TargetMode="External"/><Relationship Id="rId127" Type="http://schemas.openxmlformats.org/officeDocument/2006/relationships/hyperlink" Target="https://login.consultant.ru/link/?req=doc&amp;base=LAW&amp;n=331888&amp;dst=100070" TargetMode="External"/><Relationship Id="rId10" Type="http://schemas.openxmlformats.org/officeDocument/2006/relationships/hyperlink" Target="https://login.consultant.ru/link/?req=doc&amp;base=LAW&amp;n=470657&amp;dst=100003" TargetMode="External"/><Relationship Id="rId31" Type="http://schemas.openxmlformats.org/officeDocument/2006/relationships/hyperlink" Target="https://login.consultant.ru/link/?req=doc&amp;base=LAW&amp;n=358026&amp;dst=100193" TargetMode="External"/><Relationship Id="rId52" Type="http://schemas.openxmlformats.org/officeDocument/2006/relationships/hyperlink" Target="https://login.consultant.ru/link/?req=doc&amp;base=LAW&amp;n=331888&amp;dst=100014" TargetMode="External"/><Relationship Id="rId73" Type="http://schemas.openxmlformats.org/officeDocument/2006/relationships/hyperlink" Target="https://login.consultant.ru/link/?req=doc&amp;base=LAW&amp;n=331888&amp;dst=100030" TargetMode="External"/><Relationship Id="rId94" Type="http://schemas.openxmlformats.org/officeDocument/2006/relationships/hyperlink" Target="https://login.consultant.ru/link/?req=doc&amp;base=LAW&amp;n=433964&amp;dst=100021" TargetMode="External"/><Relationship Id="rId148" Type="http://schemas.openxmlformats.org/officeDocument/2006/relationships/hyperlink" Target="https://login.consultant.ru/link/?req=doc&amp;base=LAW&amp;n=378215&amp;dst=100157" TargetMode="External"/><Relationship Id="rId169" Type="http://schemas.openxmlformats.org/officeDocument/2006/relationships/hyperlink" Target="https://login.consultant.ru/link/?req=doc&amp;base=LAW&amp;n=446626&amp;dst=100045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33964&amp;dst=100050" TargetMode="External"/><Relationship Id="rId215" Type="http://schemas.openxmlformats.org/officeDocument/2006/relationships/hyperlink" Target="https://login.consultant.ru/link/?req=doc&amp;base=LAW&amp;n=378215&amp;dst=100186" TargetMode="External"/><Relationship Id="rId236" Type="http://schemas.openxmlformats.org/officeDocument/2006/relationships/hyperlink" Target="https://login.consultant.ru/link/?req=doc&amp;base=LAW&amp;n=378215&amp;dst=100215" TargetMode="External"/><Relationship Id="rId257" Type="http://schemas.openxmlformats.org/officeDocument/2006/relationships/hyperlink" Target="https://login.consultant.ru/link/?req=doc&amp;base=LAW&amp;n=446626&amp;dst=100050" TargetMode="External"/><Relationship Id="rId278" Type="http://schemas.openxmlformats.org/officeDocument/2006/relationships/hyperlink" Target="https://login.consultant.ru/link/?req=doc&amp;base=LAW&amp;n=447546&amp;dst=100140" TargetMode="External"/><Relationship Id="rId303" Type="http://schemas.openxmlformats.org/officeDocument/2006/relationships/hyperlink" Target="https://login.consultant.ru/link/?req=doc&amp;base=LAW&amp;n=433298&amp;dst=100293" TargetMode="External"/><Relationship Id="rId42" Type="http://schemas.openxmlformats.org/officeDocument/2006/relationships/hyperlink" Target="https://login.consultant.ru/link/?req=doc&amp;base=LAW&amp;n=447546&amp;dst=100022" TargetMode="External"/><Relationship Id="rId84" Type="http://schemas.openxmlformats.org/officeDocument/2006/relationships/hyperlink" Target="https://login.consultant.ru/link/?req=doc&amp;base=LAW&amp;n=378215&amp;dst=100129" TargetMode="External"/><Relationship Id="rId138" Type="http://schemas.openxmlformats.org/officeDocument/2006/relationships/hyperlink" Target="https://login.consultant.ru/link/?req=doc&amp;base=LAW&amp;n=347671&amp;dst=100041" TargetMode="External"/><Relationship Id="rId191" Type="http://schemas.openxmlformats.org/officeDocument/2006/relationships/hyperlink" Target="https://login.consultant.ru/link/?req=doc&amp;base=LAW&amp;n=378215&amp;dst=100177" TargetMode="External"/><Relationship Id="rId205" Type="http://schemas.openxmlformats.org/officeDocument/2006/relationships/hyperlink" Target="https://login.consultant.ru/link/?req=doc&amp;base=LAW&amp;n=433964&amp;dst=100051" TargetMode="External"/><Relationship Id="rId247" Type="http://schemas.openxmlformats.org/officeDocument/2006/relationships/hyperlink" Target="https://login.consultant.ru/link/?req=doc&amp;base=LAW&amp;n=433964&amp;dst=100076" TargetMode="External"/><Relationship Id="rId107" Type="http://schemas.openxmlformats.org/officeDocument/2006/relationships/hyperlink" Target="https://login.consultant.ru/link/?req=doc&amp;base=LAW&amp;n=331888&amp;dst=100051" TargetMode="External"/><Relationship Id="rId289" Type="http://schemas.openxmlformats.org/officeDocument/2006/relationships/hyperlink" Target="https://login.consultant.ru/link/?req=doc&amp;base=LAW&amp;n=402647&amp;dst=100285" TargetMode="External"/><Relationship Id="rId11" Type="http://schemas.openxmlformats.org/officeDocument/2006/relationships/hyperlink" Target="https://login.consultant.ru/link/?req=doc&amp;base=LAW&amp;n=433964&amp;dst=100003" TargetMode="External"/><Relationship Id="rId53" Type="http://schemas.openxmlformats.org/officeDocument/2006/relationships/hyperlink" Target="https://login.consultant.ru/link/?req=doc&amp;base=LAW&amp;n=378215&amp;dst=100113" TargetMode="External"/><Relationship Id="rId149" Type="http://schemas.openxmlformats.org/officeDocument/2006/relationships/hyperlink" Target="https://login.consultant.ru/link/?req=doc&amp;base=LAW&amp;n=446626&amp;dst=100042" TargetMode="External"/><Relationship Id="rId95" Type="http://schemas.openxmlformats.org/officeDocument/2006/relationships/hyperlink" Target="https://login.consultant.ru/link/?req=doc&amp;base=LAW&amp;n=446626&amp;dst=100041" TargetMode="External"/><Relationship Id="rId160" Type="http://schemas.openxmlformats.org/officeDocument/2006/relationships/hyperlink" Target="https://login.consultant.ru/link/?req=doc&amp;base=LAW&amp;n=470657&amp;dst=100080" TargetMode="External"/><Relationship Id="rId216" Type="http://schemas.openxmlformats.org/officeDocument/2006/relationships/hyperlink" Target="https://login.consultant.ru/link/?req=doc&amp;base=LAW&amp;n=331888&amp;dst=100108" TargetMode="External"/><Relationship Id="rId258" Type="http://schemas.openxmlformats.org/officeDocument/2006/relationships/hyperlink" Target="https://login.consultant.ru/link/?req=doc&amp;base=LAW&amp;n=433964&amp;dst=100101" TargetMode="External"/><Relationship Id="rId22" Type="http://schemas.openxmlformats.org/officeDocument/2006/relationships/hyperlink" Target="https://login.consultant.ru/link/?req=doc&amp;base=LAW&amp;n=378215&amp;dst=100003" TargetMode="External"/><Relationship Id="rId64" Type="http://schemas.openxmlformats.org/officeDocument/2006/relationships/hyperlink" Target="https://login.consultant.ru/link/?req=doc&amp;base=LAW&amp;n=447546&amp;dst=100074" TargetMode="External"/><Relationship Id="rId118" Type="http://schemas.openxmlformats.org/officeDocument/2006/relationships/hyperlink" Target="https://login.consultant.ru/link/?req=doc&amp;base=LAW&amp;n=347671&amp;dst=100023" TargetMode="External"/><Relationship Id="rId171" Type="http://schemas.openxmlformats.org/officeDocument/2006/relationships/hyperlink" Target="https://login.consultant.ru/link/?req=doc&amp;base=LAW&amp;n=446626&amp;dst=100045" TargetMode="External"/><Relationship Id="rId227" Type="http://schemas.openxmlformats.org/officeDocument/2006/relationships/hyperlink" Target="https://login.consultant.ru/link/?req=doc&amp;base=LAW&amp;n=378215&amp;dst=100186" TargetMode="External"/><Relationship Id="rId269" Type="http://schemas.openxmlformats.org/officeDocument/2006/relationships/hyperlink" Target="https://login.consultant.ru/link/?req=doc&amp;base=LAW&amp;n=331888&amp;dst=100113" TargetMode="External"/><Relationship Id="rId33" Type="http://schemas.openxmlformats.org/officeDocument/2006/relationships/hyperlink" Target="https://login.consultant.ru/link/?req=doc&amp;base=LAW&amp;n=331888&amp;dst=100008" TargetMode="External"/><Relationship Id="rId129" Type="http://schemas.openxmlformats.org/officeDocument/2006/relationships/hyperlink" Target="https://login.consultant.ru/link/?req=doc&amp;base=LAW&amp;n=378215&amp;dst=100156" TargetMode="External"/><Relationship Id="rId280" Type="http://schemas.openxmlformats.org/officeDocument/2006/relationships/hyperlink" Target="https://login.consultant.ru/link/?req=doc&amp;base=LAW&amp;n=433964&amp;dst=100121" TargetMode="External"/><Relationship Id="rId75" Type="http://schemas.openxmlformats.org/officeDocument/2006/relationships/hyperlink" Target="https://login.consultant.ru/link/?req=doc&amp;base=LAW&amp;n=470657&amp;dst=100021" TargetMode="External"/><Relationship Id="rId140" Type="http://schemas.openxmlformats.org/officeDocument/2006/relationships/hyperlink" Target="https://login.consultant.ru/link/?req=doc&amp;base=LAW&amp;n=470657&amp;dst=100036" TargetMode="External"/><Relationship Id="rId182" Type="http://schemas.openxmlformats.org/officeDocument/2006/relationships/hyperlink" Target="https://login.consultant.ru/link/?req=doc&amp;base=LAW&amp;n=378215&amp;dst=100170" TargetMode="External"/><Relationship Id="rId6" Type="http://schemas.openxmlformats.org/officeDocument/2006/relationships/hyperlink" Target="https://login.consultant.ru/link/?req=doc&amp;base=LAW&amp;n=347671&amp;dst=100003" TargetMode="External"/><Relationship Id="rId238" Type="http://schemas.openxmlformats.org/officeDocument/2006/relationships/hyperlink" Target="https://login.consultant.ru/link/?req=doc&amp;base=LAW&amp;n=446626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24407</Words>
  <Characters>139122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163203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Мариам Давидовна</dc:creator>
  <cp:keywords/>
  <dc:description/>
  <cp:lastModifiedBy>Бабаева Мариам Давидовна</cp:lastModifiedBy>
  <cp:revision>1</cp:revision>
  <dcterms:created xsi:type="dcterms:W3CDTF">2025-04-09T12:06:00Z</dcterms:created>
  <dcterms:modified xsi:type="dcterms:W3CDTF">2025-04-09T12:07:00Z</dcterms:modified>
</cp:coreProperties>
</file>